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D2" w:rsidRPr="00D56A08" w:rsidRDefault="00BB02E2" w:rsidP="00D24ED2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223" w:rsidRDefault="00161223" w:rsidP="00D24ED2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9pt;margin-top:18pt;width:76.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StgQ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DnoTq9cRU43Rtw8wNsA8sxU2fuNP3ikNI3LVEbfmWt7ltOGESXhZPJydERxwWQ&#10;df9eM7iGbL2OQENju1A6KAYCdGDp8chMCIXCZjkroTwYUTCdF3mZRuYSUh0OG+v8W647FCY1tkB8&#10;BCe7O+dDMKQ6uIS7nJaCrYSUcWE36xtp0Y6ASFbxi/G/cJMqOCsdjo2I4w7ECHcEW4g2kv5UZnmR&#10;XuflZDWbX0yKVTGdlBfpfJJm5XU5S4uyuF19DwFmRdUKxri6E4ofBJgVf0fwvhVG6UQJoh5qNc2n&#10;I0N/TDKN3++S7ISHfpSiq/H86ESqwOsbxSBtUnki5DhPfg4/VhlqcPjHqkQVBOJHCfhhPQBKkMZa&#10;s0fQg9XAF1ALjwhMWm2/YdRDQ9bYfd0SyzGS7xRoqsyKInRwXBTTixwW9tSyPrUQRQGqxh6jcXrj&#10;x67fGis2Ldw0qljpK9BhI6JGnqPaqxeaLiazfyBCV5+uo9fzM7b8AQAA//8DAFBLAwQUAAYACAAA&#10;ACEAsFiCyt4AAAAJAQAADwAAAGRycy9kb3ducmV2LnhtbEyPwU7DMBBE70j8g7VIXBC1KW2Shmwq&#10;QAJxbekHOLGbRMTrKHab9O9ZTvQ4mtHMm2I7u16c7Rg6TwhPCwXCUu1NRw3C4fvjMQMRoiaje08W&#10;4WIDbMvbm0Lnxk+0s+d9bASXUMg1QhvjkEsZ6tY6HRZ+sMTe0Y9OR5ZjI82oJy53vVwqlUinO+KF&#10;Vg/2vbX1z/7kEI5f08N6M1Wf8ZDuVsmb7tLKXxDv7+bXFxDRzvE/DH/4jA4lM1X+RCaIHiFJ14we&#10;EZ4T/sSBbJmtQFQIG6VAloW8flD+AgAA//8DAFBLAQItABQABgAIAAAAIQC2gziS/gAAAOEBAAAT&#10;AAAAAAAAAAAAAAAAAAAAAABbQ29udGVudF9UeXBlc10ueG1sUEsBAi0AFAAGAAgAAAAhADj9If/W&#10;AAAAlAEAAAsAAAAAAAAAAAAAAAAALwEAAF9yZWxzLy5yZWxzUEsBAi0AFAAGAAgAAAAhAAI2RK2B&#10;AgAADgUAAA4AAAAAAAAAAAAAAAAALgIAAGRycy9lMm9Eb2MueG1sUEsBAi0AFAAGAAgAAAAhALBY&#10;gsreAAAACQEAAA8AAAAAAAAAAAAAAAAA2wQAAGRycy9kb3ducmV2LnhtbFBLBQYAAAAABAAEAPMA&#10;AADmBQAAAAA=&#10;" o:allowincell="f" stroked="f">
                <v:textbox>
                  <w:txbxContent>
                    <w:p w:rsidR="00161223" w:rsidRDefault="00161223" w:rsidP="00D24ED2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223" w:rsidRPr="00D56A08" w:rsidRDefault="00161223" w:rsidP="00D24ED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7.9pt;margin-top:18pt;width:76.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9W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ZjkroTwYUTCdF3mZRuYSUh0OG+v8W647FCY1tkB8&#10;BCe7O+dDMKQ6uIS7nJaCrYSUcWE36xtp0Y6ASFbxi/G/cJMqOCsdjo2I4w7ECHcEW4g2kv5UZnmR&#10;XuflZDWbX0yKVTGdlBfpfJJm5XU5S4uyuF19DwFmRdUKxri6E4ofBJgVf0fwvhVG6UQJoh5qNc2n&#10;I0N/TDKN3++S7ISHfpSiq/H86ESqwOsbxSBtUnki5DhPfg4/VhlqcPjHqkQVBOJHCfhhPUS5RYkE&#10;haw1ewRZWA20AcPwlsCk1fYbRj30ZY3d1y2xHCP5ToG0yqwoQiPHRTG9yGFhTy3rUwtRFKBq7DEa&#10;pzd+bP6tsWLTwk2jmJW+Ajk2IkrlOaq9iKH3Yk77dyI09+k6ej2/Zssf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JjN&#10;v1a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161223" w:rsidRPr="00D56A08" w:rsidRDefault="00161223" w:rsidP="00D24ED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24ED2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ED2">
        <w:rPr>
          <w:color w:val="000000"/>
        </w:rPr>
        <w:t xml:space="preserve">                                      </w:t>
      </w:r>
    </w:p>
    <w:p w:rsidR="00D24ED2" w:rsidRDefault="00D24ED2" w:rsidP="00D24ED2">
      <w:pPr>
        <w:rPr>
          <w:color w:val="000000"/>
          <w:sz w:val="16"/>
          <w:szCs w:val="16"/>
        </w:rPr>
      </w:pPr>
    </w:p>
    <w:p w:rsidR="00D24ED2" w:rsidRDefault="00D24ED2" w:rsidP="00D24ED2">
      <w:pPr>
        <w:pStyle w:val="2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УКРАЇНА</w:t>
      </w:r>
    </w:p>
    <w:p w:rsidR="00D24ED2" w:rsidRDefault="00D24ED2" w:rsidP="00D24ED2">
      <w:pPr>
        <w:jc w:val="center"/>
        <w:rPr>
          <w:b/>
          <w:bCs/>
          <w:color w:val="000000"/>
          <w:sz w:val="16"/>
          <w:szCs w:val="16"/>
        </w:rPr>
      </w:pPr>
    </w:p>
    <w:p w:rsidR="00D24ED2" w:rsidRDefault="00D24ED2" w:rsidP="00D24ED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ХМЕЛЬНИЦЬКА ОБЛАСНА РАДА</w:t>
      </w:r>
    </w:p>
    <w:p w:rsidR="00D24ED2" w:rsidRDefault="00D24ED2" w:rsidP="00D24ED2">
      <w:pPr>
        <w:jc w:val="center"/>
        <w:rPr>
          <w:color w:val="000000"/>
          <w:sz w:val="16"/>
          <w:szCs w:val="16"/>
        </w:rPr>
      </w:pPr>
    </w:p>
    <w:p w:rsidR="00D24ED2" w:rsidRDefault="00D56A08" w:rsidP="00D24ED2">
      <w:pPr>
        <w:jc w:val="center"/>
        <w:rPr>
          <w:color w:val="000000"/>
        </w:rPr>
      </w:pPr>
      <w:r>
        <w:rPr>
          <w:color w:val="000000"/>
        </w:rPr>
        <w:t>СЬОМ</w:t>
      </w:r>
      <w:r w:rsidR="00D24ED2">
        <w:rPr>
          <w:color w:val="000000"/>
        </w:rPr>
        <w:t>Е СКЛИКАННЯ</w:t>
      </w:r>
    </w:p>
    <w:p w:rsidR="00D24ED2" w:rsidRDefault="00BB02E2" w:rsidP="00D24ED2">
      <w:pPr>
        <w:rPr>
          <w:sz w:val="20"/>
          <w:szCs w:val="20"/>
        </w:rPr>
      </w:pPr>
      <w:r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1623695</wp:posOffset>
                </wp:positionV>
                <wp:extent cx="5829300" cy="635"/>
                <wp:effectExtent l="32385" t="37465" r="3429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A9D4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7.85pt" to="468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9kNQIAAHQEAAAOAAAAZHJzL2Uyb0RvYy54bWysVE2P2jAQvVfqf7B8hyR8LUSEVUWgF9pF&#10;WvoDjO0Qax3bsg0BVf3vHZtAS3toVTUHx45nnue9ec78+dxIdOLWCa0KnPVTjLiimgl1KPCX3bo3&#10;xch5ohiRWvECX7jDz4v37+atyflA11oybhGAKJe3psC19yZPEkdr3hDX14Yr2Ky0bYiHpT0kzJIW&#10;0BuZDNJ0krTaMmM15c7B1/K6iRcRv6o49S9V5bhHssBQm4+jjeM+jMliTvKDJaYWtCuD/EMVDREK&#10;Dr1DlcQTdLTiN6hGUKudrnyf6ibRVSUojxyATZb+wua1JoZHLiCOM3eZ3P+DpZ9PW4sEK/AAI0Ua&#10;aNFGKI4GQZnWuBwClmprAzd6Vq9mo+mbQ0ova6IOPFa4uxhIy0JG8pASFs4A/r79pBnEkKPXUaZz&#10;ZZsACQKgc+zG5d4NfvaIwsfxdDAbptA0CnuT4Tjik/yWaqzzH7luUJgUWELVEZqcNs6HUkh+Cwkn&#10;Kb0WUsZ2S4VagH/KxgG8MUDeQ/vfdnXXRKelYCE8JDp72C+lRScSLBSfrpKHMKuPikX4mhO2Ugz5&#10;KIsC2+NwnjxgJDlcEteEfJJ7IuSf44CGVCEcZAFi3ezqra+zdLaarqaj3mgwWfVGaVn2PqyXo95k&#10;nT2Ny2G5XJbZt6BKNsprwRhXgdXN59no73zU3birQ+9OvwuaPKJH5aHY2zsWHX0RrHA11V6zy9aG&#10;JgWLgLVjcHcNw935eR2jfvwsFt8BAAD//wMAUEsDBBQABgAIAAAAIQCBXCB/3AAAAAoBAAAPAAAA&#10;ZHJzL2Rvd25yZXYueG1sTI/NTsMwEITvSLyDtUhcEHVc1DaEOBUicIfSB3BjY0fE6yh2fuDpWbjQ&#10;48yOZr8p94vv2GSG2AaUIFYZMINN0C1aCcf3l9scWEwKteoCGglfJsK+urwoVaHDjG9mOiTLqARj&#10;oSS4lPqC89g441Vchd4g3T7C4FUiOViuBzVTue/4Osu23KsW6YNTvXlypvk8jF5C+7yzQozzq5vq&#10;77r2Vtzwo5Dy+mp5fACWzJL+w/CLT+hQEdMpjKgj60jnNCVJWG82O2AUuL/bknP6c3LgVcnPJ1Q/&#10;AAAA//8DAFBLAQItABQABgAIAAAAIQC2gziS/gAAAOEBAAATAAAAAAAAAAAAAAAAAAAAAABbQ29u&#10;dGVudF9UeXBlc10ueG1sUEsBAi0AFAAGAAgAAAAhADj9If/WAAAAlAEAAAsAAAAAAAAAAAAAAAAA&#10;LwEAAF9yZWxzLy5yZWxzUEsBAi0AFAAGAAgAAAAhAPvBb2Q1AgAAdAQAAA4AAAAAAAAAAAAAAAAA&#10;LgIAAGRycy9lMm9Eb2MueG1sUEsBAi0AFAAGAAgAAAAhAIFcIH/cAAAACgEAAA8AAAAAAAAAAAAA&#10;AAAAjw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D24ED2" w:rsidRDefault="00D24ED2" w:rsidP="00D24ED2">
      <w:pPr>
        <w:pStyle w:val="1"/>
        <w:rPr>
          <w:sz w:val="16"/>
          <w:szCs w:val="16"/>
          <w:lang w:val="uk-UA"/>
        </w:rPr>
      </w:pPr>
    </w:p>
    <w:p w:rsidR="00D24ED2" w:rsidRDefault="00D24ED2" w:rsidP="00D24ED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D24ED2" w:rsidRPr="002375DD" w:rsidRDefault="00D24ED2" w:rsidP="00D24ED2">
      <w:pPr>
        <w:rPr>
          <w:sz w:val="16"/>
          <w:szCs w:val="16"/>
          <w:lang w:val="uk-UA"/>
        </w:rPr>
      </w:pPr>
    </w:p>
    <w:p w:rsidR="00D24ED2" w:rsidRPr="002375DD" w:rsidRDefault="00D56A08" w:rsidP="00D24ED2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911C87">
        <w:rPr>
          <w:color w:val="000000"/>
          <w:sz w:val="28"/>
          <w:szCs w:val="28"/>
          <w:lang w:val="uk-UA"/>
        </w:rPr>
        <w:t>14 черв</w:t>
      </w:r>
      <w:r>
        <w:rPr>
          <w:color w:val="000000"/>
          <w:sz w:val="28"/>
          <w:szCs w:val="28"/>
          <w:lang w:val="uk-UA"/>
        </w:rPr>
        <w:t>ня 201</w:t>
      </w:r>
      <w:r w:rsidR="00BC5154"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 xml:space="preserve"> року  № </w:t>
      </w:r>
      <w:r w:rsidR="000F2F69">
        <w:rPr>
          <w:color w:val="000000"/>
          <w:sz w:val="28"/>
          <w:szCs w:val="28"/>
          <w:lang w:val="uk-UA"/>
        </w:rPr>
        <w:t>___________</w:t>
      </w:r>
    </w:p>
    <w:p w:rsidR="00D24ED2" w:rsidRPr="002375DD" w:rsidRDefault="00D24ED2" w:rsidP="00D24ED2">
      <w:pPr>
        <w:jc w:val="center"/>
        <w:rPr>
          <w:color w:val="000000"/>
          <w:sz w:val="20"/>
          <w:szCs w:val="20"/>
          <w:lang w:val="uk-UA"/>
        </w:rPr>
      </w:pPr>
    </w:p>
    <w:p w:rsidR="00D24ED2" w:rsidRPr="002375DD" w:rsidRDefault="00D24ED2" w:rsidP="00D24ED2">
      <w:pPr>
        <w:jc w:val="center"/>
        <w:rPr>
          <w:color w:val="000000"/>
          <w:lang w:val="uk-UA"/>
        </w:rPr>
      </w:pPr>
      <w:r w:rsidRPr="002375DD">
        <w:rPr>
          <w:color w:val="000000"/>
          <w:lang w:val="uk-UA"/>
        </w:rPr>
        <w:t>м. Хмельницький</w:t>
      </w:r>
    </w:p>
    <w:p w:rsidR="00D24ED2" w:rsidRPr="00161223" w:rsidRDefault="00D24ED2" w:rsidP="00D24ED2">
      <w:pPr>
        <w:tabs>
          <w:tab w:val="left" w:pos="9354"/>
        </w:tabs>
        <w:ind w:right="4674"/>
        <w:jc w:val="both"/>
        <w:rPr>
          <w:sz w:val="28"/>
          <w:szCs w:val="28"/>
          <w:lang w:val="uk-UA"/>
        </w:rPr>
      </w:pPr>
    </w:p>
    <w:p w:rsidR="002375DD" w:rsidRDefault="002375DD" w:rsidP="008A4E03">
      <w:pPr>
        <w:rPr>
          <w:sz w:val="28"/>
          <w:szCs w:val="28"/>
          <w:lang w:val="uk-UA"/>
        </w:rPr>
      </w:pPr>
    </w:p>
    <w:p w:rsidR="00161223" w:rsidRDefault="000F2F69" w:rsidP="006A1CBF">
      <w:pPr>
        <w:jc w:val="both"/>
        <w:rPr>
          <w:sz w:val="28"/>
          <w:szCs w:val="28"/>
          <w:lang w:val="uk-UA"/>
        </w:rPr>
      </w:pPr>
      <w:r w:rsidRPr="000F2F69">
        <w:rPr>
          <w:sz w:val="28"/>
          <w:szCs w:val="28"/>
          <w:lang w:val="uk-UA"/>
        </w:rPr>
        <w:t xml:space="preserve">Про внесення змін до рішення </w:t>
      </w:r>
    </w:p>
    <w:p w:rsidR="00161223" w:rsidRDefault="000F2F69" w:rsidP="006A1CBF">
      <w:pPr>
        <w:jc w:val="both"/>
        <w:rPr>
          <w:sz w:val="28"/>
          <w:szCs w:val="28"/>
          <w:lang w:val="uk-UA"/>
        </w:rPr>
      </w:pPr>
      <w:r w:rsidRPr="000F2F69">
        <w:rPr>
          <w:sz w:val="28"/>
          <w:szCs w:val="28"/>
          <w:lang w:val="uk-UA"/>
        </w:rPr>
        <w:t>обласної ради</w:t>
      </w:r>
      <w:r w:rsidR="0016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2</w:t>
      </w:r>
      <w:r w:rsidR="00911C8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911C87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2015 року</w:t>
      </w:r>
    </w:p>
    <w:p w:rsidR="00161223" w:rsidRDefault="000F2F69" w:rsidP="006A1CBF">
      <w:pPr>
        <w:jc w:val="both"/>
        <w:rPr>
          <w:sz w:val="28"/>
          <w:szCs w:val="28"/>
          <w:lang w:val="uk-UA"/>
        </w:rPr>
      </w:pPr>
      <w:r w:rsidRPr="000F2F69">
        <w:rPr>
          <w:sz w:val="28"/>
          <w:szCs w:val="28"/>
          <w:lang w:val="uk-UA"/>
        </w:rPr>
        <w:t xml:space="preserve">№ </w:t>
      </w:r>
      <w:r w:rsidR="00911C87">
        <w:rPr>
          <w:sz w:val="28"/>
          <w:szCs w:val="28"/>
          <w:lang w:val="uk-UA"/>
        </w:rPr>
        <w:t>1</w:t>
      </w:r>
      <w:r w:rsidRPr="000F2F69">
        <w:rPr>
          <w:sz w:val="28"/>
          <w:szCs w:val="28"/>
          <w:lang w:val="uk-UA"/>
        </w:rPr>
        <w:t>-</w:t>
      </w:r>
      <w:r w:rsidR="00911C87">
        <w:rPr>
          <w:sz w:val="28"/>
          <w:szCs w:val="28"/>
          <w:lang w:val="uk-UA"/>
        </w:rPr>
        <w:t>3</w:t>
      </w:r>
      <w:r w:rsidRPr="000F2F69">
        <w:rPr>
          <w:sz w:val="28"/>
          <w:szCs w:val="28"/>
          <w:lang w:val="uk-UA"/>
        </w:rPr>
        <w:t>2/2015</w:t>
      </w:r>
      <w:r w:rsidR="00161223">
        <w:rPr>
          <w:sz w:val="28"/>
          <w:szCs w:val="28"/>
          <w:lang w:val="uk-UA"/>
        </w:rPr>
        <w:t xml:space="preserve"> </w:t>
      </w:r>
      <w:r w:rsidRPr="000F2F69">
        <w:rPr>
          <w:sz w:val="28"/>
          <w:szCs w:val="28"/>
          <w:lang w:val="uk-UA"/>
        </w:rPr>
        <w:t xml:space="preserve">«Про </w:t>
      </w:r>
      <w:r w:rsidR="00911C87">
        <w:rPr>
          <w:sz w:val="28"/>
          <w:szCs w:val="28"/>
          <w:lang w:val="uk-UA"/>
        </w:rPr>
        <w:t>проект перспективного</w:t>
      </w:r>
    </w:p>
    <w:p w:rsidR="00161223" w:rsidRDefault="00911C87" w:rsidP="006A1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 формування</w:t>
      </w:r>
      <w:r w:rsidR="00161223">
        <w:rPr>
          <w:sz w:val="28"/>
          <w:szCs w:val="28"/>
          <w:lang w:val="uk-UA"/>
        </w:rPr>
        <w:t xml:space="preserve"> </w:t>
      </w:r>
      <w:r w:rsidR="00BC5154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ериторій громад</w:t>
      </w:r>
    </w:p>
    <w:p w:rsidR="000F2F69" w:rsidRDefault="000F2F69" w:rsidP="006A1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Хмельницької облас</w:t>
      </w:r>
      <w:r w:rsidR="00911C87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>»</w:t>
      </w:r>
    </w:p>
    <w:p w:rsidR="000F2F69" w:rsidRDefault="000F2F69" w:rsidP="006A1CBF">
      <w:pPr>
        <w:jc w:val="both"/>
        <w:rPr>
          <w:sz w:val="28"/>
          <w:szCs w:val="28"/>
          <w:lang w:val="uk-UA"/>
        </w:rPr>
      </w:pPr>
    </w:p>
    <w:p w:rsidR="00161223" w:rsidRDefault="00161223" w:rsidP="006A1CBF">
      <w:pPr>
        <w:jc w:val="both"/>
        <w:rPr>
          <w:sz w:val="28"/>
          <w:szCs w:val="28"/>
          <w:lang w:val="uk-UA"/>
        </w:rPr>
      </w:pPr>
    </w:p>
    <w:p w:rsidR="00911C87" w:rsidRDefault="009D6879" w:rsidP="00911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911C87">
        <w:rPr>
          <w:sz w:val="28"/>
          <w:szCs w:val="28"/>
          <w:lang w:val="uk-UA"/>
        </w:rPr>
        <w:t xml:space="preserve">Розглянувши подання Хмельницької обласної державної адміністрації від 26.04.2018 року №67/38-13-1944/2018, відповідно до вимог пункту 3 статті 11 Закону України «Про добровільне об’єднання територіальних громад», на підставі частини другої розпорядження Кабінету Міністрів України від 08.09.2015 року №924-р «Про </w:t>
      </w:r>
      <w:r w:rsidR="00794EF8">
        <w:rPr>
          <w:sz w:val="28"/>
          <w:szCs w:val="28"/>
          <w:lang w:val="uk-UA"/>
        </w:rPr>
        <w:t>затвердження</w:t>
      </w:r>
      <w:r w:rsidR="00911C87">
        <w:rPr>
          <w:sz w:val="28"/>
          <w:szCs w:val="28"/>
          <w:lang w:val="uk-UA"/>
        </w:rPr>
        <w:t xml:space="preserve"> перспективного плану формування територій громад Хмельницької області» (зі змінами)</w:t>
      </w:r>
      <w:r w:rsidR="00BC5154">
        <w:rPr>
          <w:sz w:val="28"/>
          <w:szCs w:val="28"/>
          <w:lang w:val="uk-UA"/>
        </w:rPr>
        <w:t xml:space="preserve"> </w:t>
      </w:r>
      <w:r w:rsidR="00911C87">
        <w:rPr>
          <w:sz w:val="28"/>
          <w:szCs w:val="28"/>
          <w:lang w:val="uk-UA"/>
        </w:rPr>
        <w:t xml:space="preserve">та керуючись пунктом 26 частини першої статті 43 Закону України «Про місцеве самоврядування в Україні», обласна рада </w:t>
      </w:r>
    </w:p>
    <w:p w:rsidR="00911C87" w:rsidRDefault="00911C87" w:rsidP="00911C8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161223" w:rsidRDefault="00161223" w:rsidP="00911C87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911C87" w:rsidRDefault="00911C87" w:rsidP="00911C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</w:p>
    <w:p w:rsidR="00911C87" w:rsidRDefault="00911C87" w:rsidP="00911C87">
      <w:pPr>
        <w:rPr>
          <w:sz w:val="28"/>
          <w:szCs w:val="28"/>
          <w:lang w:val="uk-UA"/>
        </w:rPr>
      </w:pPr>
    </w:p>
    <w:p w:rsidR="00161223" w:rsidRDefault="00161223" w:rsidP="00911C87">
      <w:pPr>
        <w:rPr>
          <w:sz w:val="28"/>
          <w:szCs w:val="28"/>
          <w:lang w:val="uk-UA"/>
        </w:rPr>
      </w:pPr>
    </w:p>
    <w:p w:rsidR="00911C87" w:rsidRDefault="00911C87" w:rsidP="00911C87">
      <w:pPr>
        <w:tabs>
          <w:tab w:val="left" w:pos="720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Внести зміни до рішення обласної ради від 28 травня 2015 року              №1-32/2015 «Про проект перспективного плану формування територій громад Хмельницької області» згідно </w:t>
      </w:r>
      <w:r w:rsidRPr="00FA43E8">
        <w:rPr>
          <w:sz w:val="28"/>
          <w:szCs w:val="28"/>
          <w:lang w:val="uk-UA"/>
        </w:rPr>
        <w:t>з додатком 1</w:t>
      </w:r>
      <w:r>
        <w:rPr>
          <w:sz w:val="28"/>
          <w:szCs w:val="28"/>
          <w:lang w:val="uk-UA"/>
        </w:rPr>
        <w:t xml:space="preserve"> в частині:</w:t>
      </w:r>
    </w:p>
    <w:p w:rsidR="00911C87" w:rsidRDefault="00911C87" w:rsidP="00911C87">
      <w:pPr>
        <w:tabs>
          <w:tab w:val="left" w:pos="5509"/>
        </w:tabs>
        <w:ind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зміни меж:</w:t>
      </w:r>
    </w:p>
    <w:p w:rsidR="00911C87" w:rsidRPr="000072FD" w:rsidRDefault="00911C87" w:rsidP="00911C87">
      <w:pPr>
        <w:tabs>
          <w:tab w:val="left" w:pos="5509"/>
        </w:tabs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Волочиської міської об'єднаної територіальної громади Волочиського району згідно з додатком </w:t>
      </w:r>
      <w:r w:rsidRPr="00ED212F">
        <w:rPr>
          <w:sz w:val="28"/>
          <w:szCs w:val="28"/>
          <w:lang w:val="uk-UA"/>
        </w:rPr>
        <w:t>2</w:t>
      </w:r>
      <w:r w:rsidR="00161223">
        <w:rPr>
          <w:sz w:val="28"/>
          <w:szCs w:val="28"/>
          <w:lang w:val="uk-UA"/>
        </w:rPr>
        <w:t xml:space="preserve"> до цього рішення</w:t>
      </w:r>
      <w:r w:rsidRPr="00ED212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911C87" w:rsidRDefault="00911C87" w:rsidP="00911C87">
      <w:pPr>
        <w:tabs>
          <w:tab w:val="left" w:pos="5509"/>
        </w:tabs>
        <w:spacing w:before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Сатанівської</w:t>
      </w:r>
      <w:proofErr w:type="spellEnd"/>
      <w:r>
        <w:rPr>
          <w:sz w:val="28"/>
          <w:szCs w:val="28"/>
          <w:lang w:val="uk-UA"/>
        </w:rPr>
        <w:t xml:space="preserve"> селищної та Городоцької міської об'єднаних територіальних громад Городоцького району згідно з додатками </w:t>
      </w:r>
      <w:r w:rsidRPr="00ED212F">
        <w:rPr>
          <w:sz w:val="28"/>
          <w:szCs w:val="28"/>
          <w:lang w:val="uk-UA"/>
        </w:rPr>
        <w:t>3, 4</w:t>
      </w:r>
      <w:r w:rsidR="00161223">
        <w:rPr>
          <w:sz w:val="28"/>
          <w:szCs w:val="28"/>
          <w:lang w:val="uk-UA"/>
        </w:rPr>
        <w:t xml:space="preserve"> до цього рішення</w:t>
      </w:r>
      <w:r w:rsidRPr="00ED212F">
        <w:rPr>
          <w:sz w:val="28"/>
          <w:szCs w:val="28"/>
          <w:lang w:val="uk-UA"/>
        </w:rPr>
        <w:t>;</w:t>
      </w:r>
    </w:p>
    <w:p w:rsidR="00911C87" w:rsidRDefault="00911C87" w:rsidP="00911C87">
      <w:pPr>
        <w:tabs>
          <w:tab w:val="left" w:pos="5509"/>
        </w:tabs>
        <w:ind w:firstLine="709"/>
        <w:jc w:val="both"/>
        <w:rPr>
          <w:sz w:val="28"/>
          <w:szCs w:val="28"/>
          <w:lang w:val="uk-UA"/>
        </w:rPr>
      </w:pPr>
    </w:p>
    <w:p w:rsidR="00865846" w:rsidRDefault="00865846" w:rsidP="00911C87">
      <w:pPr>
        <w:tabs>
          <w:tab w:val="left" w:pos="5509"/>
        </w:tabs>
        <w:ind w:firstLine="709"/>
        <w:jc w:val="both"/>
        <w:rPr>
          <w:sz w:val="28"/>
          <w:szCs w:val="28"/>
          <w:lang w:val="uk-UA"/>
        </w:rPr>
        <w:sectPr w:rsidR="00865846" w:rsidSect="00865846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p w:rsidR="00911C87" w:rsidRDefault="00911C87" w:rsidP="00911C87">
      <w:pPr>
        <w:tabs>
          <w:tab w:val="left" w:pos="5509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Довжоцької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Слобідсько-Кульчієвецької</w:t>
      </w:r>
      <w:proofErr w:type="spellEnd"/>
      <w:r>
        <w:rPr>
          <w:sz w:val="28"/>
          <w:szCs w:val="28"/>
          <w:lang w:val="uk-UA"/>
        </w:rPr>
        <w:t xml:space="preserve"> сільських об'єднаних </w:t>
      </w:r>
      <w:proofErr w:type="spellStart"/>
      <w:r>
        <w:rPr>
          <w:sz w:val="28"/>
          <w:szCs w:val="28"/>
          <w:lang w:val="uk-UA"/>
        </w:rPr>
        <w:t>тери</w:t>
      </w:r>
      <w:r w:rsidR="00BC5154">
        <w:rPr>
          <w:sz w:val="28"/>
          <w:szCs w:val="28"/>
          <w:lang w:val="uk-UA"/>
        </w:rPr>
        <w:t>то</w:t>
      </w:r>
      <w:r>
        <w:rPr>
          <w:sz w:val="28"/>
          <w:szCs w:val="28"/>
          <w:lang w:val="uk-UA"/>
        </w:rPr>
        <w:t>-ріальних</w:t>
      </w:r>
      <w:proofErr w:type="spellEnd"/>
      <w:r>
        <w:rPr>
          <w:sz w:val="28"/>
          <w:szCs w:val="28"/>
          <w:lang w:val="uk-UA"/>
        </w:rPr>
        <w:t xml:space="preserve"> громад Кам'янець-Подільського району згідно з додатками </w:t>
      </w:r>
      <w:r w:rsidR="009E7A46">
        <w:rPr>
          <w:sz w:val="28"/>
          <w:szCs w:val="28"/>
          <w:lang w:val="uk-UA"/>
        </w:rPr>
        <w:t xml:space="preserve">5, </w:t>
      </w:r>
      <w:r>
        <w:rPr>
          <w:sz w:val="28"/>
          <w:szCs w:val="28"/>
          <w:lang w:val="uk-UA"/>
        </w:rPr>
        <w:t>6</w:t>
      </w:r>
      <w:r w:rsidR="00161223">
        <w:rPr>
          <w:sz w:val="28"/>
          <w:szCs w:val="28"/>
          <w:lang w:val="uk-UA"/>
        </w:rPr>
        <w:t xml:space="preserve"> до цього рішення</w:t>
      </w:r>
      <w:r>
        <w:rPr>
          <w:sz w:val="28"/>
          <w:szCs w:val="28"/>
          <w:lang w:val="uk-UA"/>
        </w:rPr>
        <w:t xml:space="preserve">; </w:t>
      </w:r>
    </w:p>
    <w:p w:rsidR="00911C87" w:rsidRDefault="00911C87" w:rsidP="00911C87">
      <w:pPr>
        <w:tabs>
          <w:tab w:val="left" w:pos="5509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Кам'янець-Подільської міської об'єднаної територіальної громади згідно з додатком </w:t>
      </w:r>
      <w:r w:rsidR="009E7A46">
        <w:rPr>
          <w:sz w:val="28"/>
          <w:szCs w:val="28"/>
          <w:lang w:val="uk-UA"/>
        </w:rPr>
        <w:t>7</w:t>
      </w:r>
      <w:r w:rsidR="00161223">
        <w:rPr>
          <w:sz w:val="28"/>
          <w:szCs w:val="28"/>
          <w:lang w:val="uk-UA"/>
        </w:rPr>
        <w:t xml:space="preserve"> до цього рішення</w:t>
      </w:r>
      <w:r>
        <w:rPr>
          <w:sz w:val="28"/>
          <w:szCs w:val="28"/>
          <w:lang w:val="uk-UA"/>
        </w:rPr>
        <w:t>;</w:t>
      </w:r>
    </w:p>
    <w:p w:rsidR="00911C87" w:rsidRDefault="00911C87" w:rsidP="00911C87">
      <w:pPr>
        <w:tabs>
          <w:tab w:val="left" w:pos="5509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Новоушицької селищної об'єднаної територіальної громади Новоушицького району згідно з додатком </w:t>
      </w:r>
      <w:r w:rsidR="009E7A46">
        <w:rPr>
          <w:sz w:val="28"/>
          <w:szCs w:val="28"/>
          <w:lang w:val="uk-UA"/>
        </w:rPr>
        <w:t>8</w:t>
      </w:r>
      <w:r w:rsidR="00161223">
        <w:rPr>
          <w:sz w:val="28"/>
          <w:szCs w:val="28"/>
          <w:lang w:val="uk-UA"/>
        </w:rPr>
        <w:t xml:space="preserve"> до цього рішення</w:t>
      </w:r>
      <w:r>
        <w:rPr>
          <w:sz w:val="28"/>
          <w:szCs w:val="28"/>
          <w:lang w:val="uk-UA"/>
        </w:rPr>
        <w:t>;</w:t>
      </w:r>
    </w:p>
    <w:p w:rsidR="00911C87" w:rsidRDefault="00911C87" w:rsidP="00911C8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911C87" w:rsidRPr="00781579" w:rsidRDefault="00911C87" w:rsidP="00911C87">
      <w:pPr>
        <w:pStyle w:val="a6"/>
        <w:spacing w:before="0" w:beforeAutospacing="0" w:after="0" w:afterAutospacing="0"/>
        <w:ind w:firstLine="708"/>
        <w:jc w:val="both"/>
        <w:rPr>
          <w:i/>
          <w:sz w:val="26"/>
          <w:szCs w:val="26"/>
          <w:lang w:val="uk-UA"/>
        </w:rPr>
      </w:pPr>
      <w:proofErr w:type="spellStart"/>
      <w:r w:rsidRPr="00781579">
        <w:rPr>
          <w:sz w:val="28"/>
          <w:szCs w:val="28"/>
          <w:lang w:val="uk-UA"/>
        </w:rPr>
        <w:t>Нетішинської</w:t>
      </w:r>
      <w:proofErr w:type="spellEnd"/>
      <w:r w:rsidRPr="00781579">
        <w:rPr>
          <w:sz w:val="28"/>
          <w:szCs w:val="28"/>
          <w:lang w:val="uk-UA"/>
        </w:rPr>
        <w:t xml:space="preserve"> міської об'єднаної територіальної громади згідно з додатком </w:t>
      </w:r>
      <w:r w:rsidR="009E7A46">
        <w:rPr>
          <w:sz w:val="28"/>
          <w:szCs w:val="28"/>
          <w:lang w:val="uk-UA"/>
        </w:rPr>
        <w:t>9</w:t>
      </w:r>
      <w:r w:rsidR="00161223">
        <w:rPr>
          <w:sz w:val="28"/>
          <w:szCs w:val="28"/>
          <w:lang w:val="uk-UA"/>
        </w:rPr>
        <w:t xml:space="preserve"> до цього рішення</w:t>
      </w:r>
      <w:r>
        <w:rPr>
          <w:sz w:val="28"/>
          <w:szCs w:val="28"/>
          <w:lang w:val="uk-UA"/>
        </w:rPr>
        <w:t xml:space="preserve">; </w:t>
      </w:r>
    </w:p>
    <w:p w:rsidR="00911C87" w:rsidRDefault="00911C87" w:rsidP="00911C87">
      <w:pPr>
        <w:tabs>
          <w:tab w:val="left" w:pos="5509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Полонської міської об'єднаної територіальної громади Полонського району згідно з додатком </w:t>
      </w:r>
      <w:r w:rsidRPr="00F823AA">
        <w:rPr>
          <w:sz w:val="28"/>
          <w:szCs w:val="28"/>
          <w:lang w:val="uk-UA"/>
        </w:rPr>
        <w:t>1</w:t>
      </w:r>
      <w:r w:rsidR="009E7A46">
        <w:rPr>
          <w:sz w:val="28"/>
          <w:szCs w:val="28"/>
          <w:lang w:val="uk-UA"/>
        </w:rPr>
        <w:t>0</w:t>
      </w:r>
      <w:r w:rsidR="00161223">
        <w:rPr>
          <w:sz w:val="28"/>
          <w:szCs w:val="28"/>
          <w:lang w:val="uk-UA"/>
        </w:rPr>
        <w:t xml:space="preserve"> до цього рішення</w:t>
      </w:r>
      <w:r>
        <w:rPr>
          <w:sz w:val="28"/>
          <w:szCs w:val="28"/>
          <w:lang w:val="uk-UA"/>
        </w:rPr>
        <w:t xml:space="preserve">; </w:t>
      </w:r>
    </w:p>
    <w:p w:rsidR="00911C87" w:rsidRDefault="00911C87" w:rsidP="00911C87">
      <w:pPr>
        <w:tabs>
          <w:tab w:val="left" w:pos="5509"/>
        </w:tabs>
        <w:spacing w:before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Копистинської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Розсошанської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Шаровечківської</w:t>
      </w:r>
      <w:proofErr w:type="spellEnd"/>
      <w:r>
        <w:rPr>
          <w:sz w:val="28"/>
          <w:szCs w:val="28"/>
          <w:lang w:val="uk-UA"/>
        </w:rPr>
        <w:t xml:space="preserve"> сільських об'єднаних територіальних громад Хмельницького району згідно з додатками </w:t>
      </w:r>
      <w:r w:rsidRPr="00F823AA">
        <w:rPr>
          <w:sz w:val="28"/>
          <w:szCs w:val="28"/>
          <w:lang w:val="uk-UA"/>
        </w:rPr>
        <w:t>1</w:t>
      </w:r>
      <w:r w:rsidR="009E7A4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-1</w:t>
      </w:r>
      <w:r w:rsidR="009E7A46">
        <w:rPr>
          <w:sz w:val="28"/>
          <w:szCs w:val="28"/>
          <w:lang w:val="uk-UA"/>
        </w:rPr>
        <w:t>3</w:t>
      </w:r>
      <w:r w:rsidR="00161223">
        <w:rPr>
          <w:sz w:val="28"/>
          <w:szCs w:val="28"/>
          <w:lang w:val="uk-UA"/>
        </w:rPr>
        <w:t xml:space="preserve"> до цього рішення</w:t>
      </w:r>
      <w:r w:rsidRPr="00F823AA">
        <w:rPr>
          <w:sz w:val="28"/>
          <w:szCs w:val="28"/>
          <w:lang w:val="uk-UA"/>
        </w:rPr>
        <w:t>;</w:t>
      </w:r>
    </w:p>
    <w:p w:rsidR="00911C87" w:rsidRDefault="00911C87" w:rsidP="00911C87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proofErr w:type="spellStart"/>
      <w:r w:rsidRPr="00781579">
        <w:rPr>
          <w:sz w:val="28"/>
          <w:szCs w:val="28"/>
          <w:lang w:val="uk-UA"/>
        </w:rPr>
        <w:t>Славутської</w:t>
      </w:r>
      <w:proofErr w:type="spellEnd"/>
      <w:r w:rsidRPr="00781579">
        <w:rPr>
          <w:sz w:val="28"/>
          <w:szCs w:val="28"/>
          <w:lang w:val="uk-UA"/>
        </w:rPr>
        <w:t xml:space="preserve"> міської об'єднаної територіальної громади згідно </w:t>
      </w:r>
      <w:r w:rsidR="00BC5154">
        <w:rPr>
          <w:sz w:val="28"/>
          <w:szCs w:val="28"/>
          <w:lang w:val="uk-UA"/>
        </w:rPr>
        <w:t xml:space="preserve">                 </w:t>
      </w:r>
      <w:r w:rsidRPr="00781579">
        <w:rPr>
          <w:sz w:val="28"/>
          <w:szCs w:val="28"/>
          <w:lang w:val="uk-UA"/>
        </w:rPr>
        <w:t>з додатком</w:t>
      </w:r>
      <w:r>
        <w:rPr>
          <w:sz w:val="26"/>
          <w:szCs w:val="26"/>
          <w:lang w:val="uk-UA"/>
        </w:rPr>
        <w:t xml:space="preserve"> </w:t>
      </w:r>
      <w:r w:rsidRPr="00ED212F">
        <w:rPr>
          <w:sz w:val="28"/>
          <w:szCs w:val="28"/>
          <w:lang w:val="uk-UA"/>
        </w:rPr>
        <w:t>1</w:t>
      </w:r>
      <w:r w:rsidR="009E7A46">
        <w:rPr>
          <w:sz w:val="28"/>
          <w:szCs w:val="28"/>
          <w:lang w:val="uk-UA"/>
        </w:rPr>
        <w:t>4</w:t>
      </w:r>
      <w:r w:rsidR="00161223">
        <w:rPr>
          <w:sz w:val="28"/>
          <w:szCs w:val="28"/>
          <w:lang w:val="uk-UA"/>
        </w:rPr>
        <w:t xml:space="preserve"> до цього рішення</w:t>
      </w:r>
      <w:r w:rsidRPr="00ED212F">
        <w:rPr>
          <w:sz w:val="28"/>
          <w:szCs w:val="28"/>
          <w:lang w:val="uk-UA"/>
        </w:rPr>
        <w:t>;</w:t>
      </w:r>
    </w:p>
    <w:p w:rsidR="00911C87" w:rsidRDefault="00911C87" w:rsidP="00911C87">
      <w:pPr>
        <w:tabs>
          <w:tab w:val="left" w:pos="5509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Старокостянтинівської міської об</w:t>
      </w:r>
      <w:r w:rsidRPr="00C56506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єднаної територіальної громади згідно з додатком </w:t>
      </w:r>
      <w:r w:rsidRPr="00F823AA">
        <w:rPr>
          <w:sz w:val="28"/>
          <w:szCs w:val="28"/>
          <w:lang w:val="uk-UA"/>
        </w:rPr>
        <w:t>1</w:t>
      </w:r>
      <w:r w:rsidR="009E7A46">
        <w:rPr>
          <w:sz w:val="28"/>
          <w:szCs w:val="28"/>
          <w:lang w:val="uk-UA"/>
        </w:rPr>
        <w:t>5</w:t>
      </w:r>
      <w:r w:rsidR="00161223">
        <w:rPr>
          <w:sz w:val="28"/>
          <w:szCs w:val="28"/>
          <w:lang w:val="uk-UA"/>
        </w:rPr>
        <w:t xml:space="preserve"> до цього рішення</w:t>
      </w:r>
      <w:r w:rsidRPr="00F823AA">
        <w:rPr>
          <w:sz w:val="28"/>
          <w:szCs w:val="28"/>
          <w:lang w:val="uk-UA"/>
        </w:rPr>
        <w:t>;</w:t>
      </w:r>
    </w:p>
    <w:p w:rsidR="00911C87" w:rsidRDefault="00911C87" w:rsidP="00911C87">
      <w:pPr>
        <w:tabs>
          <w:tab w:val="left" w:pos="5509"/>
        </w:tabs>
        <w:spacing w:before="12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Чемеровецької</w:t>
      </w:r>
      <w:proofErr w:type="spellEnd"/>
      <w:r>
        <w:rPr>
          <w:sz w:val="28"/>
          <w:szCs w:val="28"/>
          <w:lang w:val="uk-UA"/>
        </w:rPr>
        <w:t xml:space="preserve"> селищної об'єднаної територіальної громади </w:t>
      </w:r>
      <w:proofErr w:type="spellStart"/>
      <w:r>
        <w:rPr>
          <w:sz w:val="28"/>
          <w:szCs w:val="28"/>
          <w:lang w:val="uk-UA"/>
        </w:rPr>
        <w:t>Чемеровецького</w:t>
      </w:r>
      <w:proofErr w:type="spellEnd"/>
      <w:r>
        <w:rPr>
          <w:sz w:val="28"/>
          <w:szCs w:val="28"/>
          <w:lang w:val="uk-UA"/>
        </w:rPr>
        <w:t xml:space="preserve"> району згідно з додатком </w:t>
      </w:r>
      <w:r w:rsidRPr="00F823AA">
        <w:rPr>
          <w:sz w:val="28"/>
          <w:szCs w:val="28"/>
          <w:lang w:val="uk-UA"/>
        </w:rPr>
        <w:t>1</w:t>
      </w:r>
      <w:r w:rsidR="009E7A46">
        <w:rPr>
          <w:sz w:val="28"/>
          <w:szCs w:val="28"/>
          <w:lang w:val="uk-UA"/>
        </w:rPr>
        <w:t>6</w:t>
      </w:r>
      <w:r w:rsidR="00161223">
        <w:rPr>
          <w:sz w:val="28"/>
          <w:szCs w:val="28"/>
          <w:lang w:val="uk-UA"/>
        </w:rPr>
        <w:t xml:space="preserve"> до цього рішення</w:t>
      </w:r>
      <w:r w:rsidRPr="00F823AA">
        <w:rPr>
          <w:sz w:val="28"/>
          <w:szCs w:val="28"/>
          <w:lang w:val="uk-UA"/>
        </w:rPr>
        <w:t>;</w:t>
      </w:r>
    </w:p>
    <w:p w:rsidR="00911C87" w:rsidRDefault="00911C87" w:rsidP="00911C87">
      <w:pPr>
        <w:tabs>
          <w:tab w:val="left" w:pos="5509"/>
        </w:tabs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Хмельницької міської територіальної громади; </w:t>
      </w:r>
    </w:p>
    <w:p w:rsidR="00911C87" w:rsidRPr="00B70A86" w:rsidRDefault="00911C87" w:rsidP="00911C87">
      <w:pPr>
        <w:tabs>
          <w:tab w:val="left" w:pos="5509"/>
        </w:tabs>
        <w:spacing w:before="120"/>
        <w:ind w:firstLine="709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Ярмолинецької селищної об'єднаної територіальної громади Ярмолинецького району згідно з додатком 1</w:t>
      </w:r>
      <w:r w:rsidR="009E7A46">
        <w:rPr>
          <w:sz w:val="28"/>
          <w:szCs w:val="28"/>
          <w:lang w:val="uk-UA"/>
        </w:rPr>
        <w:t>7</w:t>
      </w:r>
      <w:r w:rsidR="00865846">
        <w:rPr>
          <w:sz w:val="28"/>
          <w:szCs w:val="28"/>
          <w:lang w:val="uk-UA"/>
        </w:rPr>
        <w:t xml:space="preserve"> до цього рішення</w:t>
      </w:r>
      <w:r>
        <w:rPr>
          <w:sz w:val="28"/>
          <w:szCs w:val="28"/>
          <w:lang w:val="uk-UA"/>
        </w:rPr>
        <w:t xml:space="preserve">; </w:t>
      </w:r>
    </w:p>
    <w:p w:rsidR="00911C87" w:rsidRDefault="00911C87" w:rsidP="00911C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11C87" w:rsidRDefault="00911C87" w:rsidP="00911C87">
      <w:pPr>
        <w:ind w:firstLine="708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утворення:</w:t>
      </w:r>
    </w:p>
    <w:p w:rsidR="00911C87" w:rsidRDefault="00911C87" w:rsidP="00911C87">
      <w:pPr>
        <w:jc w:val="both"/>
        <w:rPr>
          <w:sz w:val="28"/>
          <w:szCs w:val="28"/>
          <w:lang w:val="uk-UA"/>
        </w:rPr>
      </w:pPr>
      <w:r w:rsidRPr="001579CB">
        <w:rPr>
          <w:sz w:val="28"/>
          <w:szCs w:val="28"/>
          <w:lang w:val="uk-UA"/>
        </w:rPr>
        <w:tab/>
      </w:r>
    </w:p>
    <w:p w:rsidR="00911C87" w:rsidRPr="001579CB" w:rsidRDefault="00911C87" w:rsidP="00911C8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1579CB">
        <w:rPr>
          <w:sz w:val="28"/>
          <w:szCs w:val="28"/>
          <w:lang w:val="uk-UA"/>
        </w:rPr>
        <w:t>Крупецької</w:t>
      </w:r>
      <w:proofErr w:type="spellEnd"/>
      <w:r w:rsidRPr="001579CB"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  <w:lang w:val="uk-UA"/>
        </w:rPr>
        <w:t xml:space="preserve"> об</w:t>
      </w:r>
      <w:r w:rsidRPr="001579CB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єднаної територіальної громади </w:t>
      </w:r>
      <w:proofErr w:type="spellStart"/>
      <w:r>
        <w:rPr>
          <w:sz w:val="28"/>
          <w:szCs w:val="28"/>
          <w:lang w:val="uk-UA"/>
        </w:rPr>
        <w:t>Славутського</w:t>
      </w:r>
      <w:proofErr w:type="spellEnd"/>
      <w:r>
        <w:rPr>
          <w:sz w:val="28"/>
          <w:szCs w:val="28"/>
          <w:lang w:val="uk-UA"/>
        </w:rPr>
        <w:t xml:space="preserve"> району з адміністративним центром у с. Крупець у складі таких сільських рад </w:t>
      </w:r>
      <w:proofErr w:type="spellStart"/>
      <w:r>
        <w:rPr>
          <w:sz w:val="28"/>
          <w:szCs w:val="28"/>
          <w:lang w:val="uk-UA"/>
        </w:rPr>
        <w:t>Славутського</w:t>
      </w:r>
      <w:proofErr w:type="spellEnd"/>
      <w:r>
        <w:rPr>
          <w:sz w:val="28"/>
          <w:szCs w:val="28"/>
          <w:lang w:val="uk-UA"/>
        </w:rPr>
        <w:t xml:space="preserve"> району: </w:t>
      </w:r>
      <w:proofErr w:type="spellStart"/>
      <w:r w:rsidRPr="001579CB">
        <w:rPr>
          <w:sz w:val="28"/>
          <w:szCs w:val="28"/>
          <w:lang w:val="uk-UA"/>
        </w:rPr>
        <w:t>Крупецької</w:t>
      </w:r>
      <w:proofErr w:type="spellEnd"/>
      <w:r>
        <w:rPr>
          <w:sz w:val="28"/>
          <w:szCs w:val="28"/>
          <w:lang w:val="uk-UA"/>
        </w:rPr>
        <w:t xml:space="preserve"> (с.</w:t>
      </w:r>
      <w:r w:rsidR="0016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Крупець</w:t>
      </w:r>
      <w:r w:rsidRPr="001579C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Стригани</w:t>
      </w:r>
      <w:proofErr w:type="spellEnd"/>
      <w:r>
        <w:rPr>
          <w:sz w:val="28"/>
          <w:szCs w:val="28"/>
          <w:lang w:val="uk-UA"/>
        </w:rPr>
        <w:t>,</w:t>
      </w:r>
      <w:r w:rsidRPr="001579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Полянь</w:t>
      </w:r>
      <w:proofErr w:type="spellEnd"/>
      <w:r>
        <w:rPr>
          <w:sz w:val="28"/>
          <w:szCs w:val="28"/>
          <w:lang w:val="uk-UA"/>
        </w:rPr>
        <w:t>, с.</w:t>
      </w:r>
      <w:r w:rsidR="0016122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Комарівка, 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Колом</w:t>
      </w:r>
      <w:r w:rsidRPr="00ED212F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є</w:t>
      </w:r>
      <w:proofErr w:type="spellEnd"/>
      <w:r>
        <w:rPr>
          <w:sz w:val="28"/>
          <w:szCs w:val="28"/>
          <w:lang w:val="uk-UA"/>
        </w:rPr>
        <w:t>, 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Хоровиця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 w:rsidRPr="001579CB">
        <w:rPr>
          <w:sz w:val="28"/>
          <w:szCs w:val="28"/>
          <w:lang w:val="uk-UA"/>
        </w:rPr>
        <w:t>Головлівської</w:t>
      </w:r>
      <w:proofErr w:type="spellEnd"/>
      <w:r>
        <w:rPr>
          <w:sz w:val="28"/>
          <w:szCs w:val="28"/>
          <w:lang w:val="uk-UA"/>
        </w:rPr>
        <w:t xml:space="preserve"> (с.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Головлі</w:t>
      </w:r>
      <w:proofErr w:type="spellEnd"/>
      <w:r>
        <w:rPr>
          <w:sz w:val="28"/>
          <w:szCs w:val="28"/>
          <w:lang w:val="uk-UA"/>
        </w:rPr>
        <w:t>, с.</w:t>
      </w:r>
      <w:r w:rsidR="0016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Нижні </w:t>
      </w:r>
      <w:proofErr w:type="spellStart"/>
      <w:r>
        <w:rPr>
          <w:sz w:val="28"/>
          <w:szCs w:val="28"/>
          <w:lang w:val="uk-UA"/>
        </w:rPr>
        <w:t>Головлі</w:t>
      </w:r>
      <w:proofErr w:type="spellEnd"/>
      <w:r>
        <w:rPr>
          <w:sz w:val="28"/>
          <w:szCs w:val="28"/>
          <w:lang w:val="uk-UA"/>
        </w:rPr>
        <w:t>)</w:t>
      </w:r>
      <w:r w:rsidRPr="001579CB">
        <w:rPr>
          <w:sz w:val="28"/>
          <w:szCs w:val="28"/>
          <w:lang w:val="uk-UA"/>
        </w:rPr>
        <w:t xml:space="preserve">, </w:t>
      </w:r>
      <w:proofErr w:type="spellStart"/>
      <w:r w:rsidRPr="001579CB">
        <w:rPr>
          <w:sz w:val="28"/>
          <w:szCs w:val="28"/>
          <w:lang w:val="uk-UA"/>
        </w:rPr>
        <w:t>Лисиченської</w:t>
      </w:r>
      <w:proofErr w:type="spellEnd"/>
      <w:r>
        <w:rPr>
          <w:sz w:val="28"/>
          <w:szCs w:val="28"/>
          <w:lang w:val="uk-UA"/>
        </w:rPr>
        <w:t xml:space="preserve"> (с.</w:t>
      </w:r>
      <w:r w:rsidR="0016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Лисиче, с.</w:t>
      </w:r>
      <w:r w:rsidR="0016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Дідова Гора, с</w:t>
      </w:r>
      <w:r w:rsidR="0016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uk-UA"/>
        </w:rPr>
        <w:t>Потереба</w:t>
      </w:r>
      <w:proofErr w:type="spellEnd"/>
      <w:r>
        <w:rPr>
          <w:sz w:val="28"/>
          <w:szCs w:val="28"/>
          <w:lang w:val="uk-UA"/>
        </w:rPr>
        <w:t>) згідно з</w:t>
      </w:r>
      <w:r w:rsidR="0016122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додатком 1</w:t>
      </w:r>
      <w:r w:rsidR="009E7A46">
        <w:rPr>
          <w:sz w:val="28"/>
          <w:szCs w:val="28"/>
          <w:lang w:val="uk-UA"/>
        </w:rPr>
        <w:t>8</w:t>
      </w:r>
      <w:r w:rsidR="00865846">
        <w:rPr>
          <w:sz w:val="28"/>
          <w:szCs w:val="28"/>
          <w:lang w:val="uk-UA"/>
        </w:rPr>
        <w:t xml:space="preserve"> до цього рішення</w:t>
      </w:r>
      <w:r>
        <w:rPr>
          <w:sz w:val="28"/>
          <w:szCs w:val="28"/>
          <w:lang w:val="uk-UA"/>
        </w:rPr>
        <w:t>;</w:t>
      </w:r>
    </w:p>
    <w:p w:rsidR="00BB02E2" w:rsidRDefault="00911C87" w:rsidP="00911C87">
      <w:pPr>
        <w:tabs>
          <w:tab w:val="left" w:pos="5509"/>
        </w:tabs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Улашанівської</w:t>
      </w:r>
      <w:proofErr w:type="spellEnd"/>
      <w:r>
        <w:rPr>
          <w:sz w:val="28"/>
          <w:szCs w:val="28"/>
          <w:lang w:val="uk-UA"/>
        </w:rPr>
        <w:t xml:space="preserve"> сільської об</w:t>
      </w:r>
      <w:r w:rsidRPr="00FA5BFA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єднаної територіальної громади </w:t>
      </w:r>
      <w:proofErr w:type="spellStart"/>
      <w:r>
        <w:rPr>
          <w:sz w:val="28"/>
          <w:szCs w:val="28"/>
          <w:lang w:val="uk-UA"/>
        </w:rPr>
        <w:t>Славутського</w:t>
      </w:r>
      <w:proofErr w:type="spellEnd"/>
      <w:r>
        <w:rPr>
          <w:sz w:val="28"/>
          <w:szCs w:val="28"/>
          <w:lang w:val="uk-UA"/>
        </w:rPr>
        <w:t xml:space="preserve"> району з адміністративним центром в </w:t>
      </w:r>
      <w:proofErr w:type="spellStart"/>
      <w:r>
        <w:rPr>
          <w:sz w:val="28"/>
          <w:szCs w:val="28"/>
          <w:lang w:val="uk-UA"/>
        </w:rPr>
        <w:t>с.Улашанівка</w:t>
      </w:r>
      <w:proofErr w:type="spellEnd"/>
      <w:r>
        <w:rPr>
          <w:sz w:val="28"/>
          <w:szCs w:val="28"/>
          <w:lang w:val="uk-UA"/>
        </w:rPr>
        <w:t xml:space="preserve"> у складі таких сільських рад </w:t>
      </w:r>
      <w:proofErr w:type="spellStart"/>
      <w:r>
        <w:rPr>
          <w:sz w:val="28"/>
          <w:szCs w:val="28"/>
          <w:lang w:val="uk-UA"/>
        </w:rPr>
        <w:t>Славутського</w:t>
      </w:r>
      <w:proofErr w:type="spellEnd"/>
      <w:r>
        <w:rPr>
          <w:sz w:val="28"/>
          <w:szCs w:val="28"/>
          <w:lang w:val="uk-UA"/>
        </w:rPr>
        <w:t xml:space="preserve"> району: </w:t>
      </w:r>
      <w:proofErr w:type="spellStart"/>
      <w:r w:rsidRPr="00000CE2">
        <w:rPr>
          <w:sz w:val="28"/>
          <w:szCs w:val="28"/>
          <w:lang w:val="uk-UA"/>
        </w:rPr>
        <w:t>Улашанівської</w:t>
      </w:r>
      <w:proofErr w:type="spellEnd"/>
      <w:r w:rsidRPr="00000CE2">
        <w:rPr>
          <w:sz w:val="28"/>
          <w:szCs w:val="28"/>
          <w:lang w:val="uk-UA"/>
        </w:rPr>
        <w:t xml:space="preserve"> (</w:t>
      </w:r>
      <w:proofErr w:type="spellStart"/>
      <w:r w:rsidRPr="00000CE2">
        <w:rPr>
          <w:sz w:val="28"/>
          <w:szCs w:val="28"/>
          <w:lang w:val="uk-UA"/>
        </w:rPr>
        <w:t>с.Улашанівка</w:t>
      </w:r>
      <w:proofErr w:type="spellEnd"/>
      <w:r w:rsidRPr="00000CE2">
        <w:rPr>
          <w:sz w:val="28"/>
          <w:szCs w:val="28"/>
          <w:lang w:val="uk-UA"/>
        </w:rPr>
        <w:t>, с.</w:t>
      </w:r>
      <w:r w:rsidR="00161223">
        <w:rPr>
          <w:sz w:val="28"/>
          <w:szCs w:val="28"/>
          <w:lang w:val="uk-UA"/>
        </w:rPr>
        <w:t> </w:t>
      </w:r>
      <w:proofErr w:type="spellStart"/>
      <w:r w:rsidRPr="00000CE2">
        <w:rPr>
          <w:sz w:val="28"/>
          <w:szCs w:val="28"/>
          <w:lang w:val="uk-UA"/>
        </w:rPr>
        <w:t>Вачів</w:t>
      </w:r>
      <w:proofErr w:type="spellEnd"/>
      <w:r w:rsidRPr="00000CE2">
        <w:rPr>
          <w:sz w:val="28"/>
          <w:szCs w:val="28"/>
          <w:lang w:val="uk-UA"/>
        </w:rPr>
        <w:t>, 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 w:rsidRPr="00000CE2">
        <w:rPr>
          <w:sz w:val="28"/>
          <w:szCs w:val="28"/>
          <w:lang w:val="uk-UA"/>
        </w:rPr>
        <w:t>Перемишель</w:t>
      </w:r>
      <w:proofErr w:type="spellEnd"/>
      <w:r w:rsidRPr="00000CE2">
        <w:rPr>
          <w:sz w:val="28"/>
          <w:szCs w:val="28"/>
          <w:lang w:val="uk-UA"/>
        </w:rPr>
        <w:t xml:space="preserve">), </w:t>
      </w:r>
      <w:proofErr w:type="spellStart"/>
      <w:r w:rsidRPr="00000CE2">
        <w:rPr>
          <w:sz w:val="28"/>
          <w:szCs w:val="28"/>
          <w:lang w:val="uk-UA"/>
        </w:rPr>
        <w:t>Бачманівської</w:t>
      </w:r>
      <w:proofErr w:type="spellEnd"/>
      <w:r w:rsidRPr="00000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 w:rsidRPr="00000CE2">
        <w:rPr>
          <w:sz w:val="28"/>
          <w:szCs w:val="28"/>
          <w:lang w:val="uk-UA"/>
        </w:rPr>
        <w:t>Бачманівка</w:t>
      </w:r>
      <w:proofErr w:type="spellEnd"/>
      <w:r>
        <w:rPr>
          <w:sz w:val="28"/>
          <w:szCs w:val="28"/>
          <w:lang w:val="uk-UA"/>
        </w:rPr>
        <w:t>)</w:t>
      </w:r>
      <w:r w:rsidRPr="00000CE2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Волицької</w:t>
      </w:r>
      <w:proofErr w:type="spellEnd"/>
      <w:r>
        <w:rPr>
          <w:sz w:val="28"/>
          <w:szCs w:val="28"/>
          <w:lang w:val="uk-UA"/>
        </w:rPr>
        <w:t xml:space="preserve"> (с.</w:t>
      </w:r>
      <w:r w:rsidR="00161223">
        <w:rPr>
          <w:sz w:val="28"/>
          <w:szCs w:val="28"/>
          <w:lang w:val="uk-UA"/>
        </w:rPr>
        <w:t> </w:t>
      </w:r>
      <w:proofErr w:type="spellStart"/>
      <w:r w:rsidRPr="00000CE2">
        <w:rPr>
          <w:sz w:val="28"/>
          <w:szCs w:val="28"/>
          <w:lang w:val="uk-UA"/>
        </w:rPr>
        <w:t>Волиця</w:t>
      </w:r>
      <w:proofErr w:type="spellEnd"/>
      <w:r w:rsidRPr="00000C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 w:rsidRPr="00000CE2">
        <w:rPr>
          <w:sz w:val="28"/>
          <w:szCs w:val="28"/>
          <w:lang w:val="uk-UA"/>
        </w:rPr>
        <w:t>Губельці</w:t>
      </w:r>
      <w:proofErr w:type="spellEnd"/>
      <w:r>
        <w:rPr>
          <w:sz w:val="28"/>
          <w:szCs w:val="28"/>
          <w:lang w:val="uk-UA"/>
        </w:rPr>
        <w:t>)</w:t>
      </w:r>
      <w:r w:rsidRPr="00000CE2">
        <w:rPr>
          <w:sz w:val="28"/>
          <w:szCs w:val="28"/>
          <w:lang w:val="uk-UA"/>
        </w:rPr>
        <w:t xml:space="preserve">, </w:t>
      </w:r>
      <w:proofErr w:type="spellStart"/>
      <w:r w:rsidRPr="00000CE2">
        <w:rPr>
          <w:sz w:val="28"/>
          <w:szCs w:val="28"/>
          <w:lang w:val="uk-UA"/>
        </w:rPr>
        <w:t>Жуків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(с.</w:t>
      </w:r>
      <w:r w:rsidR="00161223">
        <w:rPr>
          <w:sz w:val="28"/>
          <w:szCs w:val="28"/>
          <w:lang w:val="uk-UA"/>
        </w:rPr>
        <w:t xml:space="preserve"> </w:t>
      </w:r>
      <w:r w:rsidRPr="00000CE2">
        <w:rPr>
          <w:sz w:val="28"/>
          <w:szCs w:val="28"/>
          <w:lang w:val="uk-UA"/>
        </w:rPr>
        <w:t>Жуків</w:t>
      </w:r>
      <w:r>
        <w:rPr>
          <w:sz w:val="28"/>
          <w:szCs w:val="28"/>
          <w:lang w:val="uk-UA"/>
        </w:rPr>
        <w:t>)</w:t>
      </w:r>
      <w:r w:rsidRPr="00000CE2">
        <w:rPr>
          <w:sz w:val="28"/>
          <w:szCs w:val="28"/>
          <w:lang w:val="uk-UA"/>
        </w:rPr>
        <w:t>, Іванів</w:t>
      </w:r>
      <w:r>
        <w:rPr>
          <w:sz w:val="28"/>
          <w:szCs w:val="28"/>
          <w:lang w:val="uk-UA"/>
        </w:rPr>
        <w:t>ської (с.</w:t>
      </w:r>
      <w:r w:rsidR="00161223">
        <w:rPr>
          <w:sz w:val="28"/>
          <w:szCs w:val="28"/>
          <w:lang w:val="uk-UA"/>
        </w:rPr>
        <w:t xml:space="preserve"> </w:t>
      </w:r>
      <w:r w:rsidRPr="00000CE2">
        <w:rPr>
          <w:sz w:val="28"/>
          <w:szCs w:val="28"/>
          <w:lang w:val="uk-UA"/>
        </w:rPr>
        <w:t>Пузирки</w:t>
      </w:r>
      <w:r>
        <w:rPr>
          <w:sz w:val="28"/>
          <w:szCs w:val="28"/>
          <w:lang w:val="uk-UA"/>
        </w:rPr>
        <w:t>, с.</w:t>
      </w:r>
      <w:r w:rsidR="00161223">
        <w:rPr>
          <w:sz w:val="28"/>
          <w:szCs w:val="28"/>
          <w:lang w:val="uk-UA"/>
        </w:rPr>
        <w:t> </w:t>
      </w:r>
      <w:proofErr w:type="spellStart"/>
      <w:r w:rsidRPr="00000CE2">
        <w:rPr>
          <w:sz w:val="28"/>
          <w:szCs w:val="28"/>
          <w:lang w:val="uk-UA"/>
        </w:rPr>
        <w:t>Іванів</w:t>
      </w:r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>)</w:t>
      </w:r>
      <w:r w:rsidRPr="00000CE2">
        <w:rPr>
          <w:sz w:val="28"/>
          <w:szCs w:val="28"/>
          <w:lang w:val="uk-UA"/>
        </w:rPr>
        <w:t xml:space="preserve">, </w:t>
      </w:r>
      <w:proofErr w:type="spellStart"/>
      <w:r w:rsidRPr="00000CE2">
        <w:rPr>
          <w:sz w:val="28"/>
          <w:szCs w:val="28"/>
          <w:lang w:val="uk-UA"/>
        </w:rPr>
        <w:t>Марачів</w:t>
      </w:r>
      <w:r>
        <w:rPr>
          <w:sz w:val="28"/>
          <w:szCs w:val="28"/>
          <w:lang w:val="uk-UA"/>
        </w:rPr>
        <w:t>ської</w:t>
      </w:r>
      <w:proofErr w:type="spellEnd"/>
      <w:r w:rsidRPr="00000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 w:rsidRPr="00000CE2">
        <w:rPr>
          <w:sz w:val="28"/>
          <w:szCs w:val="28"/>
          <w:lang w:val="uk-UA"/>
        </w:rPr>
        <w:t>Марачів</w:t>
      </w:r>
      <w:r>
        <w:rPr>
          <w:sz w:val="28"/>
          <w:szCs w:val="28"/>
          <w:lang w:val="uk-UA"/>
        </w:rPr>
        <w:t>ка</w:t>
      </w:r>
      <w:proofErr w:type="spellEnd"/>
      <w:r>
        <w:rPr>
          <w:sz w:val="28"/>
          <w:szCs w:val="28"/>
          <w:lang w:val="uk-UA"/>
        </w:rPr>
        <w:t>)</w:t>
      </w:r>
      <w:r w:rsidRPr="00000CE2">
        <w:rPr>
          <w:sz w:val="28"/>
          <w:szCs w:val="28"/>
          <w:lang w:val="uk-UA"/>
        </w:rPr>
        <w:t xml:space="preserve">, </w:t>
      </w:r>
      <w:proofErr w:type="spellStart"/>
      <w:r w:rsidRPr="00000CE2">
        <w:rPr>
          <w:sz w:val="28"/>
          <w:szCs w:val="28"/>
          <w:lang w:val="uk-UA"/>
        </w:rPr>
        <w:t>Миньк</w:t>
      </w:r>
      <w:r>
        <w:rPr>
          <w:sz w:val="28"/>
          <w:szCs w:val="28"/>
          <w:lang w:val="uk-UA"/>
        </w:rPr>
        <w:t>овецької</w:t>
      </w:r>
      <w:proofErr w:type="spellEnd"/>
      <w:r>
        <w:rPr>
          <w:sz w:val="28"/>
          <w:szCs w:val="28"/>
          <w:lang w:val="uk-UA"/>
        </w:rPr>
        <w:t xml:space="preserve"> (с.</w:t>
      </w:r>
      <w:r w:rsidR="001612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Миньківці,</w:t>
      </w:r>
      <w:r w:rsidRPr="00000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</w:t>
      </w:r>
      <w:r w:rsidR="00865846">
        <w:rPr>
          <w:sz w:val="28"/>
          <w:szCs w:val="28"/>
          <w:lang w:val="uk-UA"/>
        </w:rPr>
        <w:t> </w:t>
      </w:r>
      <w:proofErr w:type="spellStart"/>
      <w:r w:rsidRPr="00000CE2">
        <w:rPr>
          <w:sz w:val="28"/>
          <w:szCs w:val="28"/>
          <w:lang w:val="uk-UA"/>
        </w:rPr>
        <w:t>Романіни</w:t>
      </w:r>
      <w:proofErr w:type="spellEnd"/>
      <w:r w:rsidRPr="00000CE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с.</w:t>
      </w:r>
      <w:r w:rsidR="00161223">
        <w:rPr>
          <w:sz w:val="28"/>
          <w:szCs w:val="28"/>
          <w:lang w:val="uk-UA"/>
        </w:rPr>
        <w:t xml:space="preserve"> </w:t>
      </w:r>
      <w:r w:rsidRPr="00000CE2">
        <w:rPr>
          <w:sz w:val="28"/>
          <w:szCs w:val="28"/>
          <w:lang w:val="uk-UA"/>
        </w:rPr>
        <w:t>Шевченко</w:t>
      </w:r>
      <w:r>
        <w:rPr>
          <w:sz w:val="28"/>
          <w:szCs w:val="28"/>
          <w:lang w:val="uk-UA"/>
        </w:rPr>
        <w:t>)</w:t>
      </w:r>
      <w:r w:rsidRPr="00000CE2">
        <w:rPr>
          <w:sz w:val="28"/>
          <w:szCs w:val="28"/>
          <w:lang w:val="uk-UA"/>
        </w:rPr>
        <w:t xml:space="preserve">, </w:t>
      </w:r>
      <w:proofErr w:type="spellStart"/>
      <w:r w:rsidRPr="00000CE2">
        <w:rPr>
          <w:sz w:val="28"/>
          <w:szCs w:val="28"/>
          <w:lang w:val="uk-UA"/>
        </w:rPr>
        <w:t>Ногачів</w:t>
      </w:r>
      <w:r>
        <w:rPr>
          <w:sz w:val="28"/>
          <w:szCs w:val="28"/>
          <w:lang w:val="uk-UA"/>
        </w:rPr>
        <w:t>ської</w:t>
      </w:r>
      <w:proofErr w:type="spellEnd"/>
      <w:r w:rsidRPr="00000C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 w:rsidRPr="00000CE2">
        <w:rPr>
          <w:sz w:val="28"/>
          <w:szCs w:val="28"/>
          <w:lang w:val="uk-UA"/>
        </w:rPr>
        <w:t>Ногачів</w:t>
      </w:r>
      <w:r>
        <w:rPr>
          <w:sz w:val="28"/>
          <w:szCs w:val="28"/>
          <w:lang w:val="uk-UA"/>
        </w:rPr>
        <w:t>ка</w:t>
      </w:r>
      <w:proofErr w:type="spellEnd"/>
      <w:r w:rsidR="00257BDD">
        <w:rPr>
          <w:sz w:val="28"/>
          <w:szCs w:val="28"/>
          <w:lang w:val="uk-UA"/>
        </w:rPr>
        <w:t>, 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 w:rsidR="00257BDD">
        <w:rPr>
          <w:sz w:val="28"/>
          <w:szCs w:val="28"/>
          <w:lang w:val="uk-UA"/>
        </w:rPr>
        <w:t>Дятилівка</w:t>
      </w:r>
      <w:proofErr w:type="spellEnd"/>
      <w:r>
        <w:rPr>
          <w:sz w:val="28"/>
          <w:szCs w:val="28"/>
          <w:lang w:val="uk-UA"/>
        </w:rPr>
        <w:t>)</w:t>
      </w:r>
      <w:r w:rsidRPr="00000CE2">
        <w:rPr>
          <w:sz w:val="28"/>
          <w:szCs w:val="28"/>
          <w:lang w:val="uk-UA"/>
        </w:rPr>
        <w:t xml:space="preserve">, </w:t>
      </w:r>
      <w:proofErr w:type="spellStart"/>
      <w:r w:rsidRPr="00000CE2">
        <w:rPr>
          <w:sz w:val="28"/>
          <w:szCs w:val="28"/>
          <w:lang w:val="uk-UA"/>
        </w:rPr>
        <w:t>Цвіто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(с.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Цвітоха</w:t>
      </w:r>
      <w:proofErr w:type="spellEnd"/>
      <w:r>
        <w:rPr>
          <w:sz w:val="28"/>
          <w:szCs w:val="28"/>
          <w:lang w:val="uk-UA"/>
        </w:rPr>
        <w:t>, с.</w:t>
      </w:r>
      <w:r w:rsidR="00161223">
        <w:rPr>
          <w:sz w:val="28"/>
          <w:szCs w:val="28"/>
          <w:lang w:val="uk-UA"/>
        </w:rPr>
        <w:t xml:space="preserve"> </w:t>
      </w:r>
      <w:r w:rsidRPr="00000CE2">
        <w:rPr>
          <w:sz w:val="28"/>
          <w:szCs w:val="28"/>
          <w:lang w:val="uk-UA"/>
        </w:rPr>
        <w:t xml:space="preserve">Кам’янка, </w:t>
      </w:r>
      <w:r>
        <w:rPr>
          <w:sz w:val="28"/>
          <w:szCs w:val="28"/>
          <w:lang w:val="uk-UA"/>
        </w:rPr>
        <w:t>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 w:rsidRPr="00000CE2">
        <w:rPr>
          <w:sz w:val="28"/>
          <w:szCs w:val="28"/>
          <w:lang w:val="uk-UA"/>
        </w:rPr>
        <w:t>Ташки</w:t>
      </w:r>
      <w:proofErr w:type="spellEnd"/>
      <w:r>
        <w:rPr>
          <w:sz w:val="28"/>
          <w:szCs w:val="28"/>
          <w:lang w:val="uk-UA"/>
        </w:rPr>
        <w:t xml:space="preserve">), </w:t>
      </w:r>
      <w:proofErr w:type="spellStart"/>
      <w:r>
        <w:rPr>
          <w:sz w:val="28"/>
          <w:szCs w:val="28"/>
          <w:lang w:val="uk-UA"/>
        </w:rPr>
        <w:t>Хоровецької</w:t>
      </w:r>
      <w:proofErr w:type="spellEnd"/>
      <w:r>
        <w:rPr>
          <w:sz w:val="28"/>
          <w:szCs w:val="28"/>
          <w:lang w:val="uk-UA"/>
        </w:rPr>
        <w:t xml:space="preserve"> (с.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Хоровець</w:t>
      </w:r>
      <w:proofErr w:type="spellEnd"/>
      <w:r>
        <w:rPr>
          <w:sz w:val="28"/>
          <w:szCs w:val="28"/>
          <w:lang w:val="uk-UA"/>
        </w:rPr>
        <w:t>, с.</w:t>
      </w:r>
      <w:r w:rsidR="0086584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Гута, с.</w:t>
      </w:r>
      <w:r w:rsidR="001612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Пашуки</w:t>
      </w:r>
      <w:proofErr w:type="spellEnd"/>
      <w:r>
        <w:rPr>
          <w:sz w:val="28"/>
          <w:szCs w:val="28"/>
          <w:lang w:val="uk-UA"/>
        </w:rPr>
        <w:t>)</w:t>
      </w:r>
      <w:r w:rsidRPr="00000CE2">
        <w:rPr>
          <w:sz w:val="28"/>
          <w:szCs w:val="28"/>
          <w:lang w:val="uk-UA"/>
        </w:rPr>
        <w:t xml:space="preserve"> сільських рад</w:t>
      </w:r>
      <w:r>
        <w:rPr>
          <w:sz w:val="28"/>
          <w:szCs w:val="28"/>
          <w:lang w:val="uk-UA"/>
        </w:rPr>
        <w:t xml:space="preserve"> згідно з додатком </w:t>
      </w:r>
      <w:r w:rsidR="009E7A46">
        <w:rPr>
          <w:sz w:val="28"/>
          <w:szCs w:val="28"/>
          <w:lang w:val="uk-UA"/>
        </w:rPr>
        <w:t>19</w:t>
      </w:r>
      <w:bookmarkStart w:id="0" w:name="_GoBack"/>
      <w:bookmarkEnd w:id="0"/>
      <w:r w:rsidR="00865846">
        <w:rPr>
          <w:sz w:val="28"/>
          <w:szCs w:val="28"/>
          <w:lang w:val="uk-UA"/>
        </w:rPr>
        <w:t xml:space="preserve"> до цього рішення</w:t>
      </w:r>
      <w:r w:rsidR="00BB02E2">
        <w:rPr>
          <w:sz w:val="28"/>
          <w:szCs w:val="28"/>
          <w:lang w:val="uk-UA"/>
        </w:rPr>
        <w:t>.</w:t>
      </w:r>
    </w:p>
    <w:p w:rsidR="00911C87" w:rsidRDefault="00911C87" w:rsidP="00911C87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  <w:t xml:space="preserve">2. </w:t>
      </w:r>
      <w:r w:rsidR="00865846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Хмельницькій обласній державній адміністрації у</w:t>
      </w:r>
      <w:r w:rsidR="00865846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встановленому порядку подати зміни до перспективного плану формування територій громад Хмельницької області на затвердження Кабінету Міністрів України.</w:t>
      </w:r>
    </w:p>
    <w:p w:rsidR="00911C87" w:rsidRDefault="00911C87" w:rsidP="00911C87">
      <w:pPr>
        <w:tabs>
          <w:tab w:val="left" w:pos="720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рішення покласти на постійну комісію обласної ради з</w:t>
      </w:r>
      <w:r>
        <w:rPr>
          <w:bCs/>
          <w:sz w:val="28"/>
          <w:szCs w:val="28"/>
          <w:lang w:val="uk-UA"/>
        </w:rPr>
        <w:t xml:space="preserve"> питань децентралізації, регіонального розвитку                                та комунальної власності</w:t>
      </w:r>
      <w:r>
        <w:rPr>
          <w:sz w:val="28"/>
          <w:szCs w:val="28"/>
          <w:lang w:val="uk-UA"/>
        </w:rPr>
        <w:t>.</w:t>
      </w:r>
    </w:p>
    <w:p w:rsidR="006A1CBF" w:rsidRPr="006A1CBF" w:rsidRDefault="006A1CBF" w:rsidP="00911C87">
      <w:pPr>
        <w:jc w:val="both"/>
        <w:rPr>
          <w:sz w:val="28"/>
          <w:szCs w:val="28"/>
          <w:lang w:val="uk-UA"/>
        </w:rPr>
      </w:pPr>
    </w:p>
    <w:p w:rsidR="006A1CBF" w:rsidRPr="006A1CBF" w:rsidRDefault="006A1CBF" w:rsidP="006A1CBF">
      <w:pPr>
        <w:jc w:val="both"/>
        <w:rPr>
          <w:sz w:val="28"/>
          <w:szCs w:val="28"/>
          <w:lang w:val="uk-UA"/>
        </w:rPr>
      </w:pPr>
    </w:p>
    <w:p w:rsidR="006A1CBF" w:rsidRPr="006A1CBF" w:rsidRDefault="006A1CBF" w:rsidP="006A1CBF">
      <w:pPr>
        <w:jc w:val="both"/>
        <w:rPr>
          <w:sz w:val="28"/>
          <w:szCs w:val="28"/>
          <w:lang w:val="uk-UA"/>
        </w:rPr>
      </w:pPr>
    </w:p>
    <w:p w:rsidR="009D6879" w:rsidRPr="009D6879" w:rsidRDefault="00161223" w:rsidP="006A1C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</w:t>
      </w:r>
      <w:r w:rsidR="006A1CBF" w:rsidRPr="006A1CBF">
        <w:rPr>
          <w:sz w:val="28"/>
          <w:szCs w:val="28"/>
          <w:lang w:val="uk-UA"/>
        </w:rPr>
        <w:t>М. Загородний</w:t>
      </w:r>
    </w:p>
    <w:sectPr w:rsidR="009D6879" w:rsidRPr="009D6879" w:rsidSect="001612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4F1A"/>
    <w:multiLevelType w:val="multilevel"/>
    <w:tmpl w:val="C2607A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03"/>
    <w:rsid w:val="00094BD2"/>
    <w:rsid w:val="000F2F69"/>
    <w:rsid w:val="00107CBB"/>
    <w:rsid w:val="00161223"/>
    <w:rsid w:val="00222119"/>
    <w:rsid w:val="002375DD"/>
    <w:rsid w:val="002434C0"/>
    <w:rsid w:val="00257BDD"/>
    <w:rsid w:val="00286E9E"/>
    <w:rsid w:val="003424F7"/>
    <w:rsid w:val="003B4127"/>
    <w:rsid w:val="003F1C36"/>
    <w:rsid w:val="00417764"/>
    <w:rsid w:val="004516F2"/>
    <w:rsid w:val="00481A54"/>
    <w:rsid w:val="00554119"/>
    <w:rsid w:val="00554609"/>
    <w:rsid w:val="005663AA"/>
    <w:rsid w:val="005664D5"/>
    <w:rsid w:val="005B311F"/>
    <w:rsid w:val="00687A8A"/>
    <w:rsid w:val="006A1CBF"/>
    <w:rsid w:val="006D3FD1"/>
    <w:rsid w:val="00794EF8"/>
    <w:rsid w:val="00806468"/>
    <w:rsid w:val="00822CBB"/>
    <w:rsid w:val="00865846"/>
    <w:rsid w:val="00867DEC"/>
    <w:rsid w:val="008A4E03"/>
    <w:rsid w:val="008A5AEA"/>
    <w:rsid w:val="00911C87"/>
    <w:rsid w:val="00970BF6"/>
    <w:rsid w:val="009D6879"/>
    <w:rsid w:val="009E7A46"/>
    <w:rsid w:val="009F6298"/>
    <w:rsid w:val="00A16A07"/>
    <w:rsid w:val="00B353D7"/>
    <w:rsid w:val="00B64C49"/>
    <w:rsid w:val="00BB02E2"/>
    <w:rsid w:val="00BC5154"/>
    <w:rsid w:val="00BC53A7"/>
    <w:rsid w:val="00BC6CD6"/>
    <w:rsid w:val="00BD3C0A"/>
    <w:rsid w:val="00C140F9"/>
    <w:rsid w:val="00C92AE3"/>
    <w:rsid w:val="00D24ED2"/>
    <w:rsid w:val="00D56A08"/>
    <w:rsid w:val="00D956A1"/>
    <w:rsid w:val="00D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B1A0"/>
  <w15:docId w15:val="{8070041C-DA0F-4FD6-B6A5-006F6BD4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4ED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ED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ED2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3"/>
    <w:basedOn w:val="a"/>
    <w:rsid w:val="008A4E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4E03"/>
  </w:style>
  <w:style w:type="character" w:customStyle="1" w:styleId="10">
    <w:name w:val="Заголовок 1 Знак"/>
    <w:basedOn w:val="a0"/>
    <w:link w:val="1"/>
    <w:uiPriority w:val="9"/>
    <w:rsid w:val="00D24E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E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24ED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ED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4E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rsid w:val="00911C8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2602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Лужняк</cp:lastModifiedBy>
  <cp:revision>5</cp:revision>
  <cp:lastPrinted>2018-05-15T11:26:00Z</cp:lastPrinted>
  <dcterms:created xsi:type="dcterms:W3CDTF">2018-05-14T14:02:00Z</dcterms:created>
  <dcterms:modified xsi:type="dcterms:W3CDTF">2018-05-15T11:37:00Z</dcterms:modified>
</cp:coreProperties>
</file>