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2F1A9E" w:rsidP="00381864">
      <w:pPr>
        <w:jc w:val="center"/>
        <w:rPr>
          <w:color w:val="000000"/>
          <w:lang w:val="uk-UA"/>
        </w:rPr>
      </w:pPr>
      <w:r w:rsidRPr="002F1A9E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EA0D62" w:rsidRPr="00585AE5" w:rsidRDefault="00EA0D62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2F1A9E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EA0D62" w:rsidRPr="0066353B" w:rsidRDefault="00EA0D62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2F1A9E" w:rsidP="00381864">
      <w:pPr>
        <w:rPr>
          <w:lang w:val="uk-UA"/>
        </w:rPr>
      </w:pPr>
      <w:r w:rsidRPr="002F1A9E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1E4076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1E4076" w:rsidRDefault="001E4076" w:rsidP="00381864">
      <w:pPr>
        <w:jc w:val="center"/>
        <w:rPr>
          <w:color w:val="000000"/>
          <w:sz w:val="28"/>
          <w:szCs w:val="28"/>
          <w:lang w:val="uk-UA"/>
        </w:rPr>
      </w:pPr>
    </w:p>
    <w:p w:rsidR="001E4076" w:rsidRDefault="001E4076" w:rsidP="001E4076">
      <w:pPr>
        <w:jc w:val="both"/>
        <w:rPr>
          <w:sz w:val="28"/>
          <w:szCs w:val="28"/>
          <w:lang w:val="uk-UA"/>
        </w:rPr>
      </w:pPr>
      <w:r w:rsidRPr="00C34FD8">
        <w:rPr>
          <w:sz w:val="28"/>
          <w:szCs w:val="28"/>
          <w:lang w:val="uk-UA"/>
        </w:rPr>
        <w:t xml:space="preserve">Про внесення змін </w:t>
      </w:r>
    </w:p>
    <w:p w:rsidR="001E4076" w:rsidRDefault="001E4076" w:rsidP="001E4076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bookmarkStart w:id="0" w:name="_GoBack"/>
      <w:bookmarkEnd w:id="0"/>
      <w:r w:rsidRPr="00052363">
        <w:rPr>
          <w:bCs/>
          <w:sz w:val="28"/>
          <w:szCs w:val="28"/>
          <w:lang w:val="uk-UA"/>
        </w:rPr>
        <w:t>антикорупційної</w:t>
      </w:r>
    </w:p>
    <w:p w:rsidR="001E4076" w:rsidRDefault="001E4076" w:rsidP="001E4076">
      <w:pPr>
        <w:jc w:val="both"/>
        <w:rPr>
          <w:bCs/>
          <w:sz w:val="28"/>
          <w:szCs w:val="28"/>
          <w:lang w:val="uk-UA"/>
        </w:rPr>
      </w:pPr>
      <w:r w:rsidRPr="00052363">
        <w:rPr>
          <w:bCs/>
          <w:sz w:val="28"/>
          <w:szCs w:val="28"/>
          <w:lang w:val="uk-UA"/>
        </w:rPr>
        <w:t xml:space="preserve">програми Хмельницької </w:t>
      </w:r>
    </w:p>
    <w:p w:rsidR="001E4076" w:rsidRPr="00052363" w:rsidRDefault="001E4076" w:rsidP="001E4076">
      <w:pPr>
        <w:jc w:val="both"/>
        <w:rPr>
          <w:sz w:val="28"/>
          <w:szCs w:val="28"/>
          <w:lang w:val="uk-UA"/>
        </w:rPr>
      </w:pPr>
      <w:r w:rsidRPr="00052363">
        <w:rPr>
          <w:bCs/>
          <w:sz w:val="28"/>
          <w:szCs w:val="28"/>
          <w:lang w:val="uk-UA"/>
        </w:rPr>
        <w:t>обласної ради на 2018 рік</w:t>
      </w:r>
    </w:p>
    <w:p w:rsidR="001E4076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Pr="00C34FD8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Default="001E4076" w:rsidP="001E407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другої 2 статті</w:t>
      </w:r>
      <w:r w:rsidRPr="00052363">
        <w:rPr>
          <w:sz w:val="28"/>
          <w:szCs w:val="28"/>
          <w:lang w:val="uk-UA"/>
        </w:rPr>
        <w:t xml:space="preserve"> 43 Закону України «Про місцеве самоврядування в</w:t>
      </w:r>
      <w:r>
        <w:rPr>
          <w:sz w:val="28"/>
          <w:szCs w:val="28"/>
          <w:lang w:val="uk-UA"/>
        </w:rPr>
        <w:t xml:space="preserve"> Україні», статті </w:t>
      </w:r>
      <w:r w:rsidRPr="00052363">
        <w:rPr>
          <w:sz w:val="28"/>
          <w:szCs w:val="28"/>
          <w:lang w:val="uk-UA"/>
        </w:rPr>
        <w:t xml:space="preserve">19 Закону України «Про запобігання корупції», </w:t>
      </w:r>
      <w:r>
        <w:rPr>
          <w:sz w:val="28"/>
          <w:szCs w:val="28"/>
          <w:lang w:val="uk-UA"/>
        </w:rPr>
        <w:t xml:space="preserve">Пропозицій </w:t>
      </w:r>
      <w:r w:rsidRPr="00052363">
        <w:rPr>
          <w:sz w:val="28"/>
          <w:szCs w:val="28"/>
          <w:lang w:val="uk-UA"/>
        </w:rPr>
        <w:t>Національного агентства з питань запобігання корупції</w:t>
      </w:r>
      <w:r>
        <w:rPr>
          <w:sz w:val="28"/>
          <w:szCs w:val="28"/>
          <w:lang w:val="uk-UA"/>
        </w:rPr>
        <w:t xml:space="preserve"> до антикорупційної програми Хмельницької обласної ради на 2018 рік</w:t>
      </w:r>
      <w:r w:rsidRPr="000523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</w:t>
      </w:r>
      <w:r w:rsidRPr="000523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 2018 року № 1648</w:t>
      </w:r>
      <w:r w:rsidRPr="00052363">
        <w:rPr>
          <w:sz w:val="28"/>
          <w:szCs w:val="28"/>
          <w:lang w:val="uk-UA"/>
        </w:rPr>
        <w:t>, з метою створення ефективної системи запобігання та виявлення корупції, обласна рада</w:t>
      </w:r>
    </w:p>
    <w:p w:rsidR="001E4076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Pr="00052363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Default="001E4076" w:rsidP="001E4076">
      <w:pPr>
        <w:jc w:val="both"/>
        <w:rPr>
          <w:sz w:val="28"/>
          <w:szCs w:val="28"/>
          <w:lang w:val="uk-UA"/>
        </w:rPr>
      </w:pPr>
      <w:r w:rsidRPr="00052363">
        <w:rPr>
          <w:sz w:val="28"/>
          <w:szCs w:val="28"/>
          <w:lang w:val="uk-UA"/>
        </w:rPr>
        <w:t>ВИРІШИЛА:</w:t>
      </w:r>
    </w:p>
    <w:p w:rsidR="001E4076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Pr="00C34FD8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9452DD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до</w:t>
      </w:r>
      <w:r w:rsidR="009452DD">
        <w:rPr>
          <w:sz w:val="28"/>
          <w:szCs w:val="28"/>
          <w:lang w:val="uk-UA"/>
        </w:rPr>
        <w:t xml:space="preserve"> антикорупційної програми Хмельницької обласної ради на</w:t>
      </w:r>
      <w:r w:rsidR="003016FE">
        <w:rPr>
          <w:sz w:val="28"/>
          <w:szCs w:val="28"/>
          <w:lang w:val="uk-UA"/>
        </w:rPr>
        <w:t> </w:t>
      </w:r>
      <w:r w:rsidR="009452DD">
        <w:rPr>
          <w:sz w:val="28"/>
          <w:szCs w:val="28"/>
          <w:lang w:val="uk-UA"/>
        </w:rPr>
        <w:t>2018 рік, затвердженої рішенням від 14 червня 2018 року № 31-19/2018, такі зміни: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0D62">
        <w:rPr>
          <w:sz w:val="28"/>
          <w:szCs w:val="28"/>
          <w:lang w:val="uk-UA"/>
        </w:rPr>
        <w:t>1)</w:t>
      </w:r>
      <w:r w:rsidR="009452DD">
        <w:rPr>
          <w:sz w:val="28"/>
          <w:szCs w:val="28"/>
          <w:lang w:val="uk-UA"/>
        </w:rPr>
        <w:t xml:space="preserve"> у першому абзаці Розділу ІІ «Оцінка корупційних ризиків у</w:t>
      </w:r>
      <w:r w:rsidR="003016FE">
        <w:rPr>
          <w:sz w:val="28"/>
          <w:szCs w:val="28"/>
          <w:lang w:val="uk-UA"/>
        </w:rPr>
        <w:t> </w:t>
      </w:r>
      <w:r w:rsidR="009452DD">
        <w:rPr>
          <w:sz w:val="28"/>
          <w:szCs w:val="28"/>
          <w:lang w:val="uk-UA"/>
        </w:rPr>
        <w:t>діяльності обласної ради. Заходи щодо усунення виявлених корупційних ризиків, особи, відповідальні за їх виконання, строки та необхідні ресурси</w:t>
      </w:r>
      <w:r w:rsidR="003016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слово «усунення» змінити словом «врегулювання», </w:t>
      </w:r>
      <w:r w:rsidR="00EA0D62">
        <w:rPr>
          <w:sz w:val="28"/>
          <w:szCs w:val="28"/>
          <w:lang w:val="uk-UA"/>
        </w:rPr>
        <w:t xml:space="preserve">четвертий абзац </w:t>
      </w:r>
      <w:r>
        <w:rPr>
          <w:sz w:val="28"/>
          <w:szCs w:val="28"/>
          <w:lang w:val="uk-UA"/>
        </w:rPr>
        <w:t>після слів «щодо» доп</w:t>
      </w:r>
      <w:r w:rsidR="00EA0D62">
        <w:rPr>
          <w:sz w:val="28"/>
          <w:szCs w:val="28"/>
          <w:lang w:val="uk-UA"/>
        </w:rPr>
        <w:t>овнити словами «запобігання та</w:t>
      </w:r>
      <w:r w:rsidR="003016FE">
        <w:rPr>
          <w:sz w:val="28"/>
          <w:szCs w:val="28"/>
          <w:lang w:val="uk-UA"/>
        </w:rPr>
        <w:t>…</w:t>
      </w:r>
      <w:r w:rsidR="00EA0D62">
        <w:rPr>
          <w:sz w:val="28"/>
          <w:szCs w:val="28"/>
          <w:lang w:val="uk-UA"/>
        </w:rPr>
        <w:t>»;</w:t>
      </w:r>
    </w:p>
    <w:p w:rsidR="00EA0D62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D62">
        <w:rPr>
          <w:sz w:val="28"/>
          <w:szCs w:val="28"/>
          <w:lang w:val="uk-UA"/>
        </w:rPr>
        <w:t>) а</w:t>
      </w:r>
      <w:r>
        <w:rPr>
          <w:sz w:val="28"/>
          <w:szCs w:val="28"/>
          <w:lang w:val="uk-UA"/>
        </w:rPr>
        <w:t>бзац другий Розділ</w:t>
      </w:r>
      <w:r w:rsidR="00EA0D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="00EA0D62">
        <w:rPr>
          <w:sz w:val="28"/>
          <w:szCs w:val="28"/>
          <w:lang w:val="uk-UA"/>
        </w:rPr>
        <w:t>«Процедури щодо моніторингу, оцінки виконання та періодичного перегляду Антикорупційної програми»</w:t>
      </w:r>
      <w:r w:rsidR="003016FE">
        <w:rPr>
          <w:sz w:val="28"/>
          <w:szCs w:val="28"/>
          <w:lang w:val="uk-UA"/>
        </w:rPr>
        <w:t xml:space="preserve"> викласти у </w:t>
      </w:r>
      <w:r w:rsidR="00EA0D62">
        <w:rPr>
          <w:sz w:val="28"/>
          <w:szCs w:val="28"/>
          <w:lang w:val="uk-UA"/>
        </w:rPr>
        <w:t>новій редакції, а саме: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«Моніторинг виконання Програми проводиться за такими показниками: 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-досягнення</w:t>
      </w:r>
      <w:proofErr w:type="spellEnd"/>
      <w:r>
        <w:rPr>
          <w:sz w:val="28"/>
          <w:szCs w:val="28"/>
          <w:lang w:val="uk-UA"/>
        </w:rPr>
        <w:t xml:space="preserve"> в результаті виконання Програми цілей і завдань, визначених для кожного заходу; </w:t>
      </w:r>
    </w:p>
    <w:p w:rsidR="003016FE" w:rsidRDefault="003016FE" w:rsidP="003016FE">
      <w:pPr>
        <w:spacing w:after="120"/>
        <w:ind w:firstLine="709"/>
        <w:jc w:val="both"/>
        <w:rPr>
          <w:sz w:val="28"/>
          <w:szCs w:val="28"/>
          <w:lang w:val="uk-UA"/>
        </w:rPr>
        <w:sectPr w:rsidR="003016FE" w:rsidSect="00977E6D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обліку, аналізу та узагальнення інформації,  яка отримана під час заходів моніторингу, а також щоквартальна оцінка результатів проведених заходів, передбачених Програмою здійснюється консультантом з питань запобігання та виявлення корупції виконавчого апарату обласної ради. На</w:t>
      </w:r>
      <w:r w:rsidR="003016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основі моніторингу визначаються причини неефективності чи недостатньо </w:t>
      </w:r>
      <w:r>
        <w:rPr>
          <w:sz w:val="28"/>
          <w:szCs w:val="28"/>
          <w:lang w:val="uk-UA"/>
        </w:rPr>
        <w:lastRenderedPageBreak/>
        <w:t>ефективного виконання програми та пропонуються заходи, необхідні для</w:t>
      </w:r>
      <w:r w:rsidR="003016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поліпш</w:t>
      </w:r>
      <w:r w:rsidR="003016FE">
        <w:rPr>
          <w:sz w:val="28"/>
          <w:szCs w:val="28"/>
          <w:lang w:val="uk-UA"/>
        </w:rPr>
        <w:t>ення організації виконання</w:t>
      </w:r>
      <w:r>
        <w:rPr>
          <w:sz w:val="28"/>
          <w:szCs w:val="28"/>
          <w:lang w:val="uk-UA"/>
        </w:rPr>
        <w:t>»</w:t>
      </w:r>
      <w:r w:rsidR="003016FE">
        <w:rPr>
          <w:sz w:val="28"/>
          <w:szCs w:val="28"/>
          <w:lang w:val="uk-UA"/>
        </w:rPr>
        <w:t>.</w:t>
      </w:r>
    </w:p>
    <w:p w:rsidR="001E4076" w:rsidRDefault="001E4076" w:rsidP="003016FE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Додато</w:t>
      </w:r>
      <w:r w:rsidR="003016FE">
        <w:rPr>
          <w:bCs/>
          <w:sz w:val="28"/>
          <w:szCs w:val="28"/>
          <w:lang w:val="uk-UA"/>
        </w:rPr>
        <w:t>к 2 до З</w:t>
      </w:r>
      <w:r w:rsidRPr="00A65593">
        <w:rPr>
          <w:bCs/>
          <w:sz w:val="28"/>
          <w:szCs w:val="28"/>
          <w:lang w:val="uk-UA"/>
        </w:rPr>
        <w:t>віту</w:t>
      </w:r>
      <w:r w:rsidRPr="00A65593">
        <w:rPr>
          <w:rFonts w:hint="eastAsia"/>
          <w:sz w:val="28"/>
          <w:szCs w:val="28"/>
          <w:lang w:val="uk-UA" w:bidi="uk-UA"/>
        </w:rPr>
        <w:t xml:space="preserve"> </w:t>
      </w:r>
      <w:r w:rsidRPr="00A65593">
        <w:rPr>
          <w:bCs/>
          <w:sz w:val="28"/>
          <w:szCs w:val="28"/>
          <w:lang w:val="uk-UA"/>
        </w:rPr>
        <w:t>за результатами оцінки корупційних ризиків у</w:t>
      </w:r>
      <w:r w:rsidR="003016FE">
        <w:rPr>
          <w:bCs/>
          <w:sz w:val="28"/>
          <w:szCs w:val="28"/>
          <w:lang w:val="uk-UA"/>
        </w:rPr>
        <w:t> </w:t>
      </w:r>
      <w:r w:rsidRPr="00A65593">
        <w:rPr>
          <w:bCs/>
          <w:sz w:val="28"/>
          <w:szCs w:val="28"/>
          <w:lang w:val="uk-UA"/>
        </w:rPr>
        <w:t>діяльності обласної ради</w:t>
      </w:r>
      <w:r w:rsidR="003016FE">
        <w:rPr>
          <w:bCs/>
          <w:sz w:val="28"/>
          <w:szCs w:val="28"/>
          <w:lang w:val="uk-UA"/>
        </w:rPr>
        <w:t xml:space="preserve"> «Таблиця оцінених корупційних ризиків та заходів щодо їх усунення»</w:t>
      </w:r>
      <w:r w:rsidRPr="00A6559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викласти у </w:t>
      </w:r>
      <w:r w:rsidR="003016FE">
        <w:rPr>
          <w:bCs/>
          <w:sz w:val="28"/>
          <w:szCs w:val="28"/>
          <w:lang w:val="uk-UA"/>
        </w:rPr>
        <w:t>новій</w:t>
      </w:r>
      <w:r>
        <w:rPr>
          <w:bCs/>
          <w:sz w:val="28"/>
          <w:szCs w:val="28"/>
          <w:lang w:val="uk-UA"/>
        </w:rPr>
        <w:t xml:space="preserve"> редакції</w:t>
      </w:r>
      <w:r w:rsidR="003016FE">
        <w:rPr>
          <w:bCs/>
          <w:sz w:val="28"/>
          <w:szCs w:val="28"/>
          <w:lang w:val="uk-UA"/>
        </w:rPr>
        <w:t xml:space="preserve"> згідно з додатком до цього рішення.</w:t>
      </w:r>
      <w:r>
        <w:rPr>
          <w:bCs/>
          <w:sz w:val="28"/>
          <w:szCs w:val="28"/>
          <w:lang w:val="uk-UA"/>
        </w:rPr>
        <w:t xml:space="preserve"> 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016FE" w:rsidRDefault="003016FE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016FE" w:rsidRDefault="003016FE" w:rsidP="001E4076">
      <w:pPr>
        <w:rPr>
          <w:sz w:val="28"/>
          <w:szCs w:val="28"/>
          <w:lang w:val="uk-UA"/>
        </w:rPr>
      </w:pPr>
    </w:p>
    <w:p w:rsidR="001E4076" w:rsidRPr="005773F7" w:rsidRDefault="001E4076" w:rsidP="001E4076">
      <w:pPr>
        <w:rPr>
          <w:sz w:val="28"/>
          <w:szCs w:val="28"/>
        </w:rPr>
      </w:pPr>
      <w:r w:rsidRPr="005773F7">
        <w:rPr>
          <w:sz w:val="28"/>
          <w:szCs w:val="28"/>
          <w:lang w:val="uk-UA"/>
        </w:rPr>
        <w:t>Голова ради</w:t>
      </w:r>
      <w:r w:rsidRPr="005773F7">
        <w:rPr>
          <w:sz w:val="28"/>
          <w:szCs w:val="28"/>
          <w:lang w:val="uk-UA"/>
        </w:rPr>
        <w:tab/>
      </w:r>
      <w:r w:rsidRPr="005773F7">
        <w:rPr>
          <w:sz w:val="28"/>
          <w:szCs w:val="28"/>
          <w:lang w:val="uk-UA"/>
        </w:rPr>
        <w:tab/>
      </w:r>
      <w:r w:rsidRPr="005773F7">
        <w:rPr>
          <w:sz w:val="28"/>
          <w:szCs w:val="28"/>
          <w:lang w:val="uk-UA"/>
        </w:rPr>
        <w:tab/>
      </w:r>
      <w:r w:rsidRPr="005773F7">
        <w:rPr>
          <w:sz w:val="28"/>
          <w:szCs w:val="28"/>
          <w:lang w:val="uk-UA"/>
        </w:rPr>
        <w:tab/>
      </w:r>
      <w:r w:rsidRPr="005773F7">
        <w:rPr>
          <w:sz w:val="28"/>
          <w:szCs w:val="28"/>
          <w:lang w:val="uk-UA"/>
        </w:rPr>
        <w:tab/>
      </w:r>
      <w:r w:rsidRPr="005773F7">
        <w:rPr>
          <w:sz w:val="28"/>
          <w:szCs w:val="28"/>
          <w:lang w:val="uk-UA"/>
        </w:rPr>
        <w:tab/>
      </w:r>
      <w:r w:rsidRPr="005773F7">
        <w:rPr>
          <w:sz w:val="28"/>
          <w:szCs w:val="28"/>
          <w:lang w:val="uk-UA"/>
        </w:rPr>
        <w:tab/>
      </w:r>
      <w:r w:rsidRPr="005773F7">
        <w:rPr>
          <w:sz w:val="28"/>
          <w:szCs w:val="28"/>
          <w:lang w:val="uk-UA"/>
        </w:rPr>
        <w:tab/>
        <w:t xml:space="preserve">М. Загородний </w:t>
      </w:r>
    </w:p>
    <w:p w:rsidR="001E4076" w:rsidRPr="005773F7" w:rsidRDefault="001E4076" w:rsidP="001E4076">
      <w:pPr>
        <w:rPr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3016F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1E4076"/>
    <w:rsid w:val="002D44E8"/>
    <w:rsid w:val="002F1A9E"/>
    <w:rsid w:val="003016FE"/>
    <w:rsid w:val="003202FA"/>
    <w:rsid w:val="00320DF9"/>
    <w:rsid w:val="00331F43"/>
    <w:rsid w:val="00375895"/>
    <w:rsid w:val="00381864"/>
    <w:rsid w:val="003A197C"/>
    <w:rsid w:val="003B02B0"/>
    <w:rsid w:val="003D5C51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452DD"/>
    <w:rsid w:val="00977E6D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EA0D62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4475-251A-4C54-A56C-C9174636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29</cp:revision>
  <cp:lastPrinted>2018-11-06T10:11:00Z</cp:lastPrinted>
  <dcterms:created xsi:type="dcterms:W3CDTF">2018-02-07T14:32:00Z</dcterms:created>
  <dcterms:modified xsi:type="dcterms:W3CDTF">2018-11-06T13:26:00Z</dcterms:modified>
</cp:coreProperties>
</file>