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7533" w14:textId="7F25540E" w:rsidR="00135C66" w:rsidRPr="00DA0483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bookmark5"/>
      <w:r w:rsidRPr="00135C66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  <w:r w:rsidR="00DA0483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</w:p>
    <w:p w14:paraId="77AD7D50" w14:textId="42B88995" w:rsidR="00135C66" w:rsidRPr="00517BF8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до рішення обласної ради</w:t>
      </w:r>
    </w:p>
    <w:p w14:paraId="3C82E974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55AD4D50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p w14:paraId="747BDB96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Рішення обласної ради</w:t>
      </w:r>
    </w:p>
    <w:p w14:paraId="4EA40E6A" w14:textId="3AF3B79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F92CA7">
        <w:rPr>
          <w:rFonts w:ascii="Times New Roman" w:hAnsi="Times New Roman" w:cs="Times New Roman"/>
          <w:bCs/>
          <w:sz w:val="28"/>
          <w:szCs w:val="28"/>
        </w:rPr>
        <w:t>21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червня 201</w:t>
      </w:r>
      <w:r w:rsidRPr="00517BF8">
        <w:rPr>
          <w:rFonts w:ascii="Times New Roman" w:hAnsi="Times New Roman" w:cs="Times New Roman"/>
          <w:bCs/>
          <w:sz w:val="28"/>
          <w:szCs w:val="28"/>
        </w:rPr>
        <w:t>9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</w:p>
    <w:p w14:paraId="06C9DB58" w14:textId="32F24060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C64489">
        <w:rPr>
          <w:rFonts w:ascii="Times New Roman" w:hAnsi="Times New Roman" w:cs="Times New Roman"/>
          <w:bCs/>
          <w:sz w:val="28"/>
          <w:szCs w:val="28"/>
        </w:rPr>
        <w:t>45-26/2019</w:t>
      </w:r>
    </w:p>
    <w:p w14:paraId="08F0627D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08FF0CA3" w14:textId="77777777" w:rsidR="00135C66" w:rsidRPr="00C64489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489">
        <w:rPr>
          <w:rFonts w:ascii="Times New Roman" w:hAnsi="Times New Roman" w:cs="Times New Roman"/>
          <w:b/>
          <w:bCs/>
          <w:sz w:val="28"/>
          <w:szCs w:val="28"/>
        </w:rPr>
        <w:t>АНТИКОРУПЦІЙНА ПРОГРАМА</w:t>
      </w:r>
      <w:bookmarkEnd w:id="0"/>
    </w:p>
    <w:p w14:paraId="3B9477AC" w14:textId="33D958BD" w:rsidR="00135C66" w:rsidRPr="00C64489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6"/>
      <w:r w:rsidRPr="00C64489">
        <w:rPr>
          <w:rFonts w:ascii="Times New Roman" w:hAnsi="Times New Roman" w:cs="Times New Roman"/>
          <w:b/>
          <w:bCs/>
          <w:sz w:val="28"/>
          <w:szCs w:val="28"/>
        </w:rPr>
        <w:t>Хмельницької обласної ради на 2019 рік</w:t>
      </w:r>
      <w:bookmarkEnd w:id="1"/>
    </w:p>
    <w:p w14:paraId="49BFCCA3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14:paraId="5E1A6A2C" w14:textId="342E2AB8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bookmark7"/>
      <w:r w:rsidRPr="00135C66">
        <w:rPr>
          <w:rFonts w:ascii="Times New Roman" w:hAnsi="Times New Roman" w:cs="Times New Roman"/>
          <w:bCs/>
          <w:sz w:val="28"/>
          <w:szCs w:val="28"/>
        </w:rPr>
        <w:t>І. Засади загальної відомчої політики щодо запобігання</w:t>
      </w:r>
      <w:bookmarkEnd w:id="3"/>
    </w:p>
    <w:p w14:paraId="4D40F47B" w14:textId="5BEC9EE0" w:rsidR="00135C66" w:rsidRPr="00517BF8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14:paraId="1F97E2E6" w14:textId="77777777" w:rsidR="00D45708" w:rsidRPr="00135C66" w:rsidRDefault="00D45708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EFDE23" w14:textId="11696E45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Антикорупційна програма Хмельницької обласної ради на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рік (далі – Антикорупційна програма) розроблена відповідно до вимог законів України «Про місцеве самоврядування в Україні»,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зареєстрованим у Міністерстві юстиції України 28 грудня 2016 року за № 1718/29848,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 08 грудня 2017 року № 1379, зареєстрованим у Міністерстві юстиції України 22 січня 2018 року за № 87/31539, Порядку проведення консультацій з громадськістю з питань формування та реалізації державної політики, затвердженого постановою Кабінету Міністрів України від 03 листопада 2010 року № 996, Методичних рекомендації щодо підготовки антикорупційних програм органів влади, затвердженого рішенням Національного агентства з питань запобігання корупції від 19 січня 2017 року № 31.</w:t>
      </w:r>
    </w:p>
    <w:p w14:paraId="4029BB2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Обласна рада є органом місцевого самоврядування, що представляє спільні інтереси територіальних громад сіл, селищ, міст, у межах повноважень, визначених Конституцією України, Законом України «Про місцеве самоврядування в Україні» та іншими законами, а також повноважень, переданих їм сільськими, селищними, міськими радами.</w:t>
      </w:r>
    </w:p>
    <w:p w14:paraId="1BFEC514" w14:textId="77777777" w:rsidR="00135C66" w:rsidRPr="00135C66" w:rsidRDefault="00135C66" w:rsidP="005F7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реалізації повноважень обласної ради необхідно:</w:t>
      </w:r>
    </w:p>
    <w:p w14:paraId="17DB634A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створити ефективні механізми запобігання корупції та конфлікту інтересів, виявлення корупційних ризиків, що можуть виникнути в діяльності посадових осіб; </w:t>
      </w:r>
    </w:p>
    <w:p w14:paraId="567CCB3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забезпечити своєчасне усунення умов та причин виникнення цих ризиків, запобігання порушенням етичних стандартів поведінки;</w:t>
      </w:r>
    </w:p>
    <w:p w14:paraId="0C8E2707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організувати контроль за дотриманням правил щодо доброчесності, об’єктивності, неупередженості, компетентності, ефективності, належного </w:t>
      </w:r>
      <w:r w:rsidRPr="00135C66">
        <w:rPr>
          <w:rFonts w:ascii="Times New Roman" w:hAnsi="Times New Roman" w:cs="Times New Roman"/>
          <w:sz w:val="28"/>
          <w:szCs w:val="28"/>
        </w:rPr>
        <w:lastRenderedPageBreak/>
        <w:t>виконання посадовими особами повноважень та вимог, визначених положеннями про структурні підрозділи, посадовими інструкціями працівників, а також щодо відповідності прийнятих рішень вимогам законів              та інших нормативно-правових актів.</w:t>
      </w:r>
    </w:p>
    <w:p w14:paraId="447BE3AD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Таким чином, заходами </w:t>
      </w:r>
      <w:r w:rsidRPr="00135C66">
        <w:rPr>
          <w:rFonts w:ascii="Times New Roman" w:hAnsi="Times New Roman" w:cs="Times New Roman"/>
          <w:sz w:val="28"/>
          <w:szCs w:val="28"/>
        </w:rPr>
        <w:t xml:space="preserve">з </w:t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реалізації загальної відомчої політики </w:t>
      </w:r>
      <w:r w:rsidRPr="00135C66">
        <w:rPr>
          <w:rFonts w:ascii="Times New Roman" w:hAnsi="Times New Roman" w:cs="Times New Roman"/>
          <w:sz w:val="28"/>
          <w:szCs w:val="28"/>
        </w:rPr>
        <w:t>щодо запобігання та протидії корупції у сфері діяльності обласної ради є:</w:t>
      </w:r>
    </w:p>
    <w:p w14:paraId="5FDA3D29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1) проведення серед посадових осіб виконавчого апарату обласної ради організаційної та роз’яснювальної роботи із запобігання, виявлення і протидії корупції (у тому числі, проведення семінарів та інших освітніх заходів щодо внесення змін до антикорупційного законодавства); </w:t>
      </w:r>
    </w:p>
    <w:p w14:paraId="52693B84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2) вжиття заходів щодо виявлення конфлікту інтересів та його усунення, здійснення контролю за дотриманням вимог законодавства щодо врегулювання конфлікту інтересів, а також виявлення сприятливих для вчинення корупційних правопорушень ризиків у діяльності посадових                            і службових осіб обласної </w:t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t>ради;</w:t>
      </w:r>
    </w:p>
    <w:p w14:paraId="2A1D06D4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3) здійснення контролю за дотриманням антикорупційного законодавства, у тому числі шляхом опрацювання уповноваженими особами проектів нормативно-правових та організаційно-розпорядчих актів обласної ради щодо наявності корупційних ризиків та відповідності їх законодавству;</w:t>
      </w:r>
    </w:p>
    <w:p w14:paraId="369BBE9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4) здійснення контролю за дотриманням посадовими особами обласної ради під час виконання посадових обов’язків </w:t>
      </w:r>
      <w:proofErr w:type="spellStart"/>
      <w:r w:rsidRPr="00135C66">
        <w:rPr>
          <w:rFonts w:ascii="Times New Roman" w:hAnsi="Times New Roman" w:cs="Times New Roman"/>
          <w:sz w:val="28"/>
          <w:szCs w:val="28"/>
        </w:rPr>
        <w:t>загальноетичних</w:t>
      </w:r>
      <w:proofErr w:type="spellEnd"/>
      <w:r w:rsidRPr="00135C66">
        <w:rPr>
          <w:rFonts w:ascii="Times New Roman" w:hAnsi="Times New Roman" w:cs="Times New Roman"/>
          <w:sz w:val="28"/>
          <w:szCs w:val="28"/>
        </w:rPr>
        <w:t xml:space="preserve"> норм поведінки, ввічливості у стосунках з громадянами, керівниками, колегами                   та підлеглими;</w:t>
      </w:r>
    </w:p>
    <w:p w14:paraId="0FEC97CE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5) проведення службових розслідувань та вжиття заходів щодо притягнення до відповідальності осіб, винних у вчиненні корупційних або пов’язаних з корупцією правопорушень, інформування про такі випадки спеціально уповноважених суб’єктів у сфері протидії корупції та правоохоронних органів;</w:t>
      </w:r>
    </w:p>
    <w:p w14:paraId="02887C9A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6) виявлення ризиків, які негативно впливають на виконання функцій                       і завдань в діяльності обласної ради, та здійснення оцінки щодо наявності корупційної складової;</w:t>
      </w:r>
    </w:p>
    <w:p w14:paraId="4920CD5A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7) 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правопорушень, або про факти їх підбурення до вчинення корупційних правопорушень;</w:t>
      </w:r>
    </w:p>
    <w:p w14:paraId="0A72D263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8) забезпечення доступу до публічної інформації і дотримання принципів відкритості, прозорості та неупередженості при публічному висвітлюванні на офіційному веб-сайті обласної ради суспільно важливої інформації про діяльність ради;</w:t>
      </w:r>
    </w:p>
    <w:p w14:paraId="71FDDE87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9) забезпечення контролю за своєчасністю подання посадовими особами обласної ради декларацій осіб, уповноваженої на виконання функцій держави або місцевого самоврядування;</w:t>
      </w:r>
    </w:p>
    <w:p w14:paraId="334ED495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10) забезпечення дотримання обмежень щодо використання службових повноважень, одержання подарунків та неправомірної вигоди, сумісництва, суміщення з іншими видами діяльності, обмеження спільної роботи близьких осіб, запобігання та врегулювання конфлікту інтересів;</w:t>
      </w:r>
    </w:p>
    <w:p w14:paraId="723E3590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lastRenderedPageBreak/>
        <w:t>11) здійснення аналізу аудиторських звітів з метою виявлення корупційних ризиків у сферах діяльності, щодо яких здійснюється аудит;</w:t>
      </w:r>
    </w:p>
    <w:p w14:paraId="5799C28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12) створення прозорої системи з добору кадрів та забезпечення прозорості діяльності обласної ради;</w:t>
      </w:r>
    </w:p>
    <w:p w14:paraId="40C9BB7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13) висвітлення на офіційному веб-сайті обласної ради інформації щодо контактів (спеціальної телефонної лінії, засобу електронного зв’язку) для внесення повідомлень про корупцію;</w:t>
      </w:r>
    </w:p>
    <w:p w14:paraId="162ABEEC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14) інші заходи щодо запобігання і протидії корупції згідно із</w:t>
      </w:r>
      <w:r w:rsidRPr="00135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5C66">
        <w:rPr>
          <w:rFonts w:ascii="Times New Roman" w:hAnsi="Times New Roman" w:cs="Times New Roman"/>
          <w:sz w:val="28"/>
          <w:szCs w:val="28"/>
        </w:rPr>
        <w:t>законодавством.</w:t>
      </w:r>
    </w:p>
    <w:p w14:paraId="00EB17AA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78383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ІІ. Оцінка корупційних ризиків у діяльності обласної ради.</w:t>
      </w:r>
    </w:p>
    <w:p w14:paraId="137D1F9F" w14:textId="1220EC25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Заходи щодо усунення виявлених корупційних ризиків, особи, відповідальні за їх виконання, строки та необхідні ресурси</w:t>
      </w:r>
    </w:p>
    <w:p w14:paraId="4232CC5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D5D436" w14:textId="3EF23894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Одним із основних напрямів діяльності у сфері запобігання та протидії корупції є виявлення корупційних ризиків, які можуть виникати в роботі обласної ради, а також </w:t>
      </w:r>
      <w:r w:rsidR="00476D2F" w:rsidRPr="00517BF8">
        <w:rPr>
          <w:rFonts w:ascii="Times New Roman" w:hAnsi="Times New Roman" w:cs="Times New Roman"/>
          <w:sz w:val="28"/>
          <w:szCs w:val="28"/>
        </w:rPr>
        <w:t>врегулювання</w:t>
      </w:r>
      <w:r w:rsidRPr="00135C66">
        <w:rPr>
          <w:rFonts w:ascii="Times New Roman" w:hAnsi="Times New Roman" w:cs="Times New Roman"/>
          <w:sz w:val="28"/>
          <w:szCs w:val="28"/>
        </w:rPr>
        <w:t xml:space="preserve"> умов та причин їх виникнення.</w:t>
      </w:r>
    </w:p>
    <w:p w14:paraId="733AF4B4" w14:textId="07FDC36D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Відповідно до рішення Національного агентства з питань запобігання корупції від 02 грудня 2016 року № 126, зареєстрованого в Міністерстві юстиції України 28 грудня 2016 року за № 1718/29848 «Про затвердження Методології оцінювання корупційних ризиків у діяльності органів влади», рішенням Хмельницької обласної ради від 24 травня 2017 року № 56-13/2017</w:t>
      </w:r>
      <w:r w:rsidR="005F7F46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135C66">
        <w:rPr>
          <w:rFonts w:ascii="Times New Roman" w:hAnsi="Times New Roman" w:cs="Times New Roman"/>
          <w:sz w:val="28"/>
          <w:szCs w:val="28"/>
        </w:rPr>
        <w:t xml:space="preserve"> створено Комісію з оцінки корупційних ризиків у Хмельницькій обласній раді та затверджено Положення про неї.</w:t>
      </w:r>
    </w:p>
    <w:p w14:paraId="37CA9C78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виконання поставлених завдань складено робочий план оцінювання корупційних ризиків у діяльності обласної ради. Комісією з оцінки корупційних ризиків виконано всі заплановані робочим планом заходи                             з проведення оцінки корупційних ризиків, а саме:</w:t>
      </w:r>
    </w:p>
    <w:p w14:paraId="72E183D4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визначено джерела отримання інформації, необхідні для проведення ідентифікації корупційних ризиків;</w:t>
      </w:r>
    </w:p>
    <w:p w14:paraId="508B4CDB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визначено коло осіб, відповідальних за проведення ідентифікації корупційних ризиків;</w:t>
      </w:r>
    </w:p>
    <w:p w14:paraId="0B105CAE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ідентифіковано корупційні ризики;</w:t>
      </w:r>
    </w:p>
    <w:p w14:paraId="0DC04100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визначено методи та способи оцінки корупційних ризиків;</w:t>
      </w:r>
    </w:p>
    <w:p w14:paraId="238A62E9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проведено оцінку корупційних ризиків.</w:t>
      </w:r>
    </w:p>
    <w:p w14:paraId="0F014A2E" w14:textId="292189FE" w:rsid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За результатами оцінки корупційних ризиків комісією з оцінки корупційних ризиків в обласній раді складено звіт, який включає: опис ідентифікованих корупційних ризиків у діяльності обласної ради; чинники корупційних ризиків та можливі наслідки корупційних правопорушень чи правопорушень, пов’язаних з корупцією; пропозиції щодо </w:t>
      </w:r>
      <w:r w:rsidR="00476D2F" w:rsidRPr="00517BF8">
        <w:rPr>
          <w:rFonts w:ascii="Times New Roman" w:hAnsi="Times New Roman" w:cs="Times New Roman"/>
          <w:sz w:val="28"/>
          <w:szCs w:val="28"/>
        </w:rPr>
        <w:t xml:space="preserve">запобігання та </w:t>
      </w:r>
      <w:r w:rsidRPr="00135C66">
        <w:rPr>
          <w:rFonts w:ascii="Times New Roman" w:hAnsi="Times New Roman" w:cs="Times New Roman"/>
          <w:sz w:val="28"/>
          <w:szCs w:val="28"/>
        </w:rPr>
        <w:t>заходів з  усунення корупційних ризиків; осіб, відповідальних за виконання заходів; строки виконання заходів з усунення корупційних ризиків та необхідні ресурси (додається).</w:t>
      </w:r>
      <w:bookmarkStart w:id="4" w:name="bookmark8"/>
    </w:p>
    <w:p w14:paraId="06B793FE" w14:textId="4E6E64CC" w:rsidR="00123930" w:rsidRDefault="00123930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1DD12E" w14:textId="77777777" w:rsidR="00123930" w:rsidRDefault="00123930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5B0E36" w14:textId="77777777" w:rsidR="00E44F49" w:rsidRDefault="00E44F49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878FC4" w14:textId="4C966100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lastRenderedPageBreak/>
        <w:t>І</w:t>
      </w:r>
      <w:r w:rsidR="005F7F46">
        <w:rPr>
          <w:rFonts w:ascii="Times New Roman" w:hAnsi="Times New Roman" w:cs="Times New Roman"/>
          <w:bCs/>
          <w:sz w:val="28"/>
          <w:szCs w:val="28"/>
        </w:rPr>
        <w:t>ІІ</w:t>
      </w:r>
      <w:r w:rsidRPr="00135C66">
        <w:rPr>
          <w:rFonts w:ascii="Times New Roman" w:hAnsi="Times New Roman" w:cs="Times New Roman"/>
          <w:bCs/>
          <w:sz w:val="28"/>
          <w:szCs w:val="28"/>
        </w:rPr>
        <w:t>. Навчання та заходи з поширення інформації</w:t>
      </w:r>
    </w:p>
    <w:p w14:paraId="4EA32FDD" w14:textId="7A37B1A6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щодо програм антикорупційного спрямування</w:t>
      </w:r>
    </w:p>
    <w:p w14:paraId="65700D12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4"/>
    <w:p w14:paraId="16B258F0" w14:textId="444BB006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забезпечення проведення серед посадових осіб обласної ради організаційної та роз’яснювальної роботи з питань запобігання, виявлення і протидії корупції уповноваженими особами з питань запобігання та виявлення корупції здійснюється роз’яснювальна робота відповідно до плану заходів щодо запобігання корупції серед посадових осіб виконавчого апарату Хмельницької обласної ради на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рік. Уповноважені особи з питань запобігання та виявлення корупції скеровуються на навчання і тренінги щодо запобігання та врегулювання конфлікту інтересів. Систематично, але не рідше одного разу на півріччя, в апараті обласної ради проводитимуться навчання                з питань запобігання корупційним проявам з урахуванням актуальних тем (правові засади запобігання та протидії корупції, липень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року; запобігання та врегулювання конфлікту інтересів, вересень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року; етика поведінки посадової особи місцевого самоврядування як засіб запобігання та протидії корупції, жовтень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року; законодавство України про запобігання проявам корупції в аспекті здійснення публічних закупівель, грудень 201</w:t>
      </w:r>
      <w:r w:rsidR="00D45708" w:rsidRPr="00517BF8">
        <w:rPr>
          <w:rFonts w:ascii="Times New Roman" w:hAnsi="Times New Roman" w:cs="Times New Roman"/>
          <w:sz w:val="28"/>
          <w:szCs w:val="28"/>
        </w:rPr>
        <w:t>9</w:t>
      </w:r>
      <w:r w:rsidRPr="00135C66">
        <w:rPr>
          <w:rFonts w:ascii="Times New Roman" w:hAnsi="Times New Roman" w:cs="Times New Roman"/>
          <w:sz w:val="28"/>
          <w:szCs w:val="28"/>
        </w:rPr>
        <w:t> року.)</w:t>
      </w:r>
    </w:p>
    <w:p w14:paraId="530AAA28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Після проведення навчань планується тестування серед посадових осіб місцевого самоврядування та депутатського корпусу на знання вимог законодавства у сфері запобігання корупції.</w:t>
      </w:r>
    </w:p>
    <w:p w14:paraId="45D723F9" w14:textId="77777777" w:rsidR="00E44F49" w:rsidRDefault="00135C66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новопризначених працівників, на яких поширюється дія Закону України «Про запобігання корупції», передбачається проведення вступного інструктажу з питань запобігання і протидії корупції, основних положень антикорупційного законодавства і правил етичної поведінки.</w:t>
      </w:r>
    </w:p>
    <w:p w14:paraId="259D236B" w14:textId="698BDC0D" w:rsidR="00135C66" w:rsidRPr="00135C66" w:rsidRDefault="00135C66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66">
        <w:rPr>
          <w:rFonts w:ascii="Times New Roman" w:hAnsi="Times New Roman" w:cs="Times New Roman"/>
          <w:sz w:val="28"/>
          <w:szCs w:val="28"/>
        </w:rPr>
        <w:t>Передбачається також участь посадових осіб обласної ради в конференціях, круглих столах, семінарах та інших заходах з питань запобігання і протидії корупції, що проводяться в Україні.</w:t>
      </w:r>
    </w:p>
    <w:p w14:paraId="18648D33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89A262" w14:textId="401428AC" w:rsidR="00135C66" w:rsidRPr="00135C66" w:rsidRDefault="005F7F4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</w:t>
      </w:r>
      <w:r w:rsidR="00135C66" w:rsidRPr="00135C66">
        <w:rPr>
          <w:rFonts w:ascii="Times New Roman" w:hAnsi="Times New Roman" w:cs="Times New Roman"/>
          <w:bCs/>
          <w:sz w:val="28"/>
          <w:szCs w:val="28"/>
        </w:rPr>
        <w:t>V. Процедури щодо моніторингу, оцінки виконання</w:t>
      </w:r>
    </w:p>
    <w:p w14:paraId="0F278709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та періодичного перегляду Антикорупційної програми</w:t>
      </w:r>
    </w:p>
    <w:p w14:paraId="7A741A4A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2187A9" w14:textId="632FBEE1" w:rsidR="00135C66" w:rsidRPr="00135C66" w:rsidRDefault="00135C66" w:rsidP="00D457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Уповноважені особи з питань запобігання та виявлення корупції                         в обласній раді спільно з постійною комісією обласної ради з питань законності, протидії корупції, регламенту, депутатської діяльності та місцевого самоврядування і Комісією з оцінки корупційних ризиків</w:t>
      </w:r>
      <w:r w:rsidR="00D45708" w:rsidRPr="00517BF8">
        <w:rPr>
          <w:rFonts w:ascii="Times New Roman" w:hAnsi="Times New Roman" w:cs="Times New Roman"/>
          <w:sz w:val="28"/>
          <w:szCs w:val="28"/>
        </w:rPr>
        <w:t xml:space="preserve"> </w:t>
      </w:r>
      <w:r w:rsidRPr="00135C66">
        <w:rPr>
          <w:rFonts w:ascii="Times New Roman" w:hAnsi="Times New Roman" w:cs="Times New Roman"/>
          <w:sz w:val="28"/>
          <w:szCs w:val="28"/>
        </w:rPr>
        <w:t>у діяльності обласної ради, створеною рішенням обласної ради від 24 травня 2017 року №56-13/2017</w:t>
      </w:r>
      <w:r w:rsidR="005F7F46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135C66">
        <w:rPr>
          <w:rFonts w:ascii="Times New Roman" w:hAnsi="Times New Roman" w:cs="Times New Roman"/>
          <w:sz w:val="28"/>
          <w:szCs w:val="28"/>
        </w:rPr>
        <w:t>, забезпечують контроль за виконанням заходів, передбачених Антикорупційною програмою, а також здійснюють моніторинг впровадження цих заходів.</w:t>
      </w:r>
    </w:p>
    <w:p w14:paraId="485E451F" w14:textId="782E8CB7" w:rsidR="00135C66" w:rsidRPr="00517BF8" w:rsidRDefault="00135C66" w:rsidP="00D457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754E91" w:rsidRPr="00517BF8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0875FE" w:rsidRPr="00517BF8">
        <w:rPr>
          <w:rFonts w:ascii="Times New Roman" w:hAnsi="Times New Roman" w:cs="Times New Roman"/>
          <w:sz w:val="28"/>
          <w:szCs w:val="28"/>
        </w:rPr>
        <w:t>П</w:t>
      </w:r>
      <w:r w:rsidRPr="00135C66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0875FE" w:rsidRPr="00517BF8">
        <w:rPr>
          <w:rFonts w:ascii="Times New Roman" w:hAnsi="Times New Roman" w:cs="Times New Roman"/>
          <w:sz w:val="28"/>
          <w:szCs w:val="28"/>
        </w:rPr>
        <w:t>проводиться за такими показниками:</w:t>
      </w:r>
    </w:p>
    <w:p w14:paraId="2CD936C7" w14:textId="6CEDF56B" w:rsidR="000875FE" w:rsidRPr="00517BF8" w:rsidRDefault="000875FE" w:rsidP="000875FE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7BF8">
        <w:rPr>
          <w:rFonts w:ascii="Times New Roman" w:hAnsi="Times New Roman" w:cs="Times New Roman"/>
          <w:sz w:val="28"/>
          <w:szCs w:val="28"/>
        </w:rPr>
        <w:t>досягнення в результаті виконання Програми цілей і завдань, визначених для кожного заходу;</w:t>
      </w:r>
    </w:p>
    <w:p w14:paraId="66FA4ABE" w14:textId="2262D498" w:rsidR="000875FE" w:rsidRDefault="000875FE" w:rsidP="000875FE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7BF8">
        <w:rPr>
          <w:rFonts w:ascii="Times New Roman" w:hAnsi="Times New Roman" w:cs="Times New Roman"/>
          <w:sz w:val="28"/>
          <w:szCs w:val="28"/>
        </w:rPr>
        <w:lastRenderedPageBreak/>
        <w:t>повнота охоплення, рівень заінтересованості та задоволення потреб цільової аудиторії у результаті діяльності, що провадиться в рамках виконання Програми (реалізація заходів).</w:t>
      </w:r>
    </w:p>
    <w:p w14:paraId="44828523" w14:textId="12A326AE" w:rsid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Антикорупційна програма переглядається комісією:</w:t>
      </w:r>
    </w:p>
    <w:p w14:paraId="180F9464" w14:textId="496E6F39" w:rsid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разі нових корупційних ризиків;</w:t>
      </w:r>
    </w:p>
    <w:p w14:paraId="6C65EB79" w14:textId="6B31C20A" w:rsid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разі встановлення за результатами оцінки виконання Антикорупційної програми недієвості визначених нею заходів.</w:t>
      </w:r>
    </w:p>
    <w:p w14:paraId="6EEDDBF0" w14:textId="1E92CAC7" w:rsidR="00AA2A72" w:rsidRP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міністрів України державної програми з реалізації антикорупційної стратегії. </w:t>
      </w:r>
    </w:p>
    <w:p w14:paraId="538A119F" w14:textId="77777777" w:rsidR="000875FE" w:rsidRPr="00517BF8" w:rsidRDefault="000875FE" w:rsidP="000875F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7BF8">
        <w:rPr>
          <w:rFonts w:ascii="Times New Roman" w:hAnsi="Times New Roman" w:cs="Times New Roman"/>
          <w:sz w:val="28"/>
          <w:szCs w:val="28"/>
        </w:rPr>
        <w:t>Ведення обліку, аналізу та узагальнення інформації, яка отримана під час заходів моніторингу, а також щоквартальна оцінка результатів проведених заходів, передбачених Програмою, здійснюється консультантом з питань запобігання та виявлення корупції виконавчого апарату обласної ради. На основі моніторингу визначаються причини неефективності чи недостатньо ефективного виконання програми та пропонуються заходи, необхідні для поліпшення організації виконання.</w:t>
      </w:r>
    </w:p>
    <w:p w14:paraId="638E9139" w14:textId="7554DC08" w:rsidR="00135C66" w:rsidRPr="00135C66" w:rsidRDefault="00135C66" w:rsidP="000875F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Антикорупційна програма переглядається у разі ідентифікації нових корупційних ризиків, внесення змін до законодавства, надання Національним агентством з питань запобігання корупції пропозицій щодо удосконалення (конкретизації) положень програми.</w:t>
      </w:r>
    </w:p>
    <w:p w14:paraId="6F66252D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D17A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10F2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F087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20052763" w14:textId="5302A239" w:rsidR="00415498" w:rsidRPr="003118B5" w:rsidRDefault="00135C66" w:rsidP="0031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виконавчого апарату</w:t>
      </w:r>
      <w:r w:rsidR="001239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  <w:t>В.</w:t>
      </w:r>
      <w:r w:rsidR="001239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5C66">
        <w:rPr>
          <w:rFonts w:ascii="Times New Roman" w:hAnsi="Times New Roman" w:cs="Times New Roman"/>
          <w:sz w:val="28"/>
          <w:szCs w:val="28"/>
        </w:rPr>
        <w:t>Поліщук</w:t>
      </w:r>
    </w:p>
    <w:sectPr w:rsidR="00415498" w:rsidRPr="003118B5" w:rsidSect="00C64489">
      <w:footerReference w:type="default" r:id="rId7"/>
      <w:pgSz w:w="11900" w:h="16840"/>
      <w:pgMar w:top="709" w:right="851" w:bottom="1134" w:left="1701" w:header="0" w:footer="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A600" w14:textId="77777777" w:rsidR="00C64489" w:rsidRDefault="00C64489" w:rsidP="00C64489">
      <w:pPr>
        <w:spacing w:after="0" w:line="240" w:lineRule="auto"/>
      </w:pPr>
      <w:r>
        <w:separator/>
      </w:r>
    </w:p>
  </w:endnote>
  <w:endnote w:type="continuationSeparator" w:id="0">
    <w:p w14:paraId="014ACF31" w14:textId="77777777" w:rsidR="00C64489" w:rsidRDefault="00C64489" w:rsidP="00C6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40496"/>
      <w:docPartObj>
        <w:docPartGallery w:val="Page Numbers (Bottom of Page)"/>
        <w:docPartUnique/>
      </w:docPartObj>
    </w:sdtPr>
    <w:sdtContent>
      <w:p w14:paraId="06682AEA" w14:textId="575C94B8" w:rsidR="00C64489" w:rsidRDefault="00C644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D6F8C" w14:textId="77777777" w:rsidR="00C64489" w:rsidRDefault="00C644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46CD" w14:textId="77777777" w:rsidR="00C64489" w:rsidRDefault="00C64489" w:rsidP="00C64489">
      <w:pPr>
        <w:spacing w:after="0" w:line="240" w:lineRule="auto"/>
      </w:pPr>
      <w:r>
        <w:separator/>
      </w:r>
    </w:p>
  </w:footnote>
  <w:footnote w:type="continuationSeparator" w:id="0">
    <w:p w14:paraId="409A5690" w14:textId="77777777" w:rsidR="00C64489" w:rsidRDefault="00C64489" w:rsidP="00C6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325D"/>
    <w:multiLevelType w:val="hybridMultilevel"/>
    <w:tmpl w:val="536E2F1E"/>
    <w:lvl w:ilvl="0" w:tplc="5E426DD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8D84DDC"/>
    <w:multiLevelType w:val="hybridMultilevel"/>
    <w:tmpl w:val="E872F3B2"/>
    <w:lvl w:ilvl="0" w:tplc="3C760FA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19"/>
    <w:rsid w:val="000875FE"/>
    <w:rsid w:val="00100DAE"/>
    <w:rsid w:val="00123930"/>
    <w:rsid w:val="00130696"/>
    <w:rsid w:val="00135C66"/>
    <w:rsid w:val="0019684E"/>
    <w:rsid w:val="00217A57"/>
    <w:rsid w:val="00260549"/>
    <w:rsid w:val="002E6A83"/>
    <w:rsid w:val="003118B5"/>
    <w:rsid w:val="003208E5"/>
    <w:rsid w:val="003B3579"/>
    <w:rsid w:val="003F0C89"/>
    <w:rsid w:val="003F702B"/>
    <w:rsid w:val="00415498"/>
    <w:rsid w:val="00476D2F"/>
    <w:rsid w:val="004B7439"/>
    <w:rsid w:val="00506526"/>
    <w:rsid w:val="00517BF8"/>
    <w:rsid w:val="005A63DF"/>
    <w:rsid w:val="005E2E20"/>
    <w:rsid w:val="005F7F46"/>
    <w:rsid w:val="00754E91"/>
    <w:rsid w:val="007670F9"/>
    <w:rsid w:val="00885256"/>
    <w:rsid w:val="00887A16"/>
    <w:rsid w:val="008F3F50"/>
    <w:rsid w:val="009B1384"/>
    <w:rsid w:val="00A12619"/>
    <w:rsid w:val="00A35139"/>
    <w:rsid w:val="00A74B41"/>
    <w:rsid w:val="00AA2A72"/>
    <w:rsid w:val="00AC5EE3"/>
    <w:rsid w:val="00B55D0B"/>
    <w:rsid w:val="00BB34C3"/>
    <w:rsid w:val="00C122E8"/>
    <w:rsid w:val="00C31FA8"/>
    <w:rsid w:val="00C64489"/>
    <w:rsid w:val="00D45708"/>
    <w:rsid w:val="00DA0483"/>
    <w:rsid w:val="00DB24A1"/>
    <w:rsid w:val="00DE5255"/>
    <w:rsid w:val="00E44F49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AA00"/>
  <w15:chartTrackingRefBased/>
  <w15:docId w15:val="{7AEE1103-F4B9-4038-BB21-1FC40FA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52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64489"/>
  </w:style>
  <w:style w:type="paragraph" w:styleId="a8">
    <w:name w:val="footer"/>
    <w:basedOn w:val="a"/>
    <w:link w:val="a9"/>
    <w:uiPriority w:val="99"/>
    <w:unhideWhenUsed/>
    <w:rsid w:val="00C64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6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5</Pages>
  <Words>7452</Words>
  <Characters>4249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Іванова</cp:lastModifiedBy>
  <cp:revision>12</cp:revision>
  <cp:lastPrinted>2019-05-11T06:25:00Z</cp:lastPrinted>
  <dcterms:created xsi:type="dcterms:W3CDTF">2019-05-06T07:42:00Z</dcterms:created>
  <dcterms:modified xsi:type="dcterms:W3CDTF">2019-06-21T14:46:00Z</dcterms:modified>
</cp:coreProperties>
</file>