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C76CB1">
        <w:rPr>
          <w:rFonts w:eastAsiaTheme="minorHAnsi" w:cstheme="minorBidi"/>
          <w:b/>
          <w:bCs/>
          <w:sz w:val="26"/>
          <w:szCs w:val="26"/>
        </w:rPr>
        <w:t>5</w:t>
      </w:r>
      <w:r w:rsidR="0089264D">
        <w:rPr>
          <w:rFonts w:eastAsiaTheme="minorHAnsi" w:cstheme="minorBidi"/>
          <w:b/>
          <w:bCs/>
          <w:sz w:val="26"/>
          <w:szCs w:val="26"/>
        </w:rPr>
        <w:t>4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0A5C22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4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9C294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A5C2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76CB1" w:rsidRPr="0072153E" w:rsidRDefault="00403C25" w:rsidP="00C76CB1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r w:rsidR="009C2943" w:rsidRPr="0072153E">
        <w:rPr>
          <w:sz w:val="24"/>
          <w:szCs w:val="24"/>
        </w:rPr>
        <w:t xml:space="preserve">Співак О.М.,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  <w:r w:rsidR="00C76CB1" w:rsidRPr="00C76CB1">
        <w:rPr>
          <w:sz w:val="24"/>
          <w:szCs w:val="24"/>
        </w:rPr>
        <w:t xml:space="preserve"> </w:t>
      </w:r>
      <w:proofErr w:type="spellStart"/>
      <w:r w:rsidR="00C76CB1" w:rsidRPr="0072153E">
        <w:rPr>
          <w:sz w:val="24"/>
          <w:szCs w:val="24"/>
        </w:rPr>
        <w:t>Дехтярук</w:t>
      </w:r>
      <w:proofErr w:type="spellEnd"/>
      <w:r w:rsidR="00C76CB1" w:rsidRPr="0072153E">
        <w:rPr>
          <w:sz w:val="24"/>
          <w:szCs w:val="24"/>
        </w:rPr>
        <w:t xml:space="preserve"> О.М., </w:t>
      </w:r>
      <w:proofErr w:type="spellStart"/>
      <w:r w:rsidR="00C76CB1" w:rsidRPr="0072153E">
        <w:rPr>
          <w:sz w:val="24"/>
          <w:szCs w:val="24"/>
        </w:rPr>
        <w:t>Панчук</w:t>
      </w:r>
      <w:proofErr w:type="spellEnd"/>
      <w:r w:rsidR="00C76CB1" w:rsidRPr="0072153E">
        <w:rPr>
          <w:sz w:val="24"/>
          <w:szCs w:val="24"/>
        </w:rPr>
        <w:t xml:space="preserve"> А.А., Коваль Н.М., Коваль Л.М.</w:t>
      </w:r>
    </w:p>
    <w:p w:rsidR="002A626F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</w:p>
    <w:p w:rsidR="00403C25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E1A8B" w:rsidRPr="009C4C87" w:rsidRDefault="00EE1A8B" w:rsidP="00EE1A8B">
      <w:pPr>
        <w:jc w:val="both"/>
        <w:rPr>
          <w:i/>
          <w:sz w:val="26"/>
          <w:szCs w:val="26"/>
        </w:rPr>
      </w:pPr>
    </w:p>
    <w:p w:rsidR="00EE1A8B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E847C7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452E52" w:rsidRPr="00E847C7" w:rsidRDefault="00452E52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913F6F" w:rsidRPr="00155856" w:rsidRDefault="002A626F" w:rsidP="00913F6F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</w:t>
      </w:r>
      <w:r w:rsidR="00913F6F" w:rsidRPr="00E847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 xml:space="preserve">від 06.04.2020 року 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 xml:space="preserve">                     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>№ 311/2020-р «</w:t>
      </w:r>
      <w:r w:rsidR="000A5C22">
        <w:rPr>
          <w:rFonts w:ascii="Times New Roman" w:hAnsi="Times New Roman"/>
          <w:iCs/>
          <w:color w:val="000000"/>
          <w:sz w:val="28"/>
          <w:szCs w:val="28"/>
          <w:lang w:val="uk-UA"/>
        </w:rPr>
        <w:t>Про збільшення обсягу доходів і видатків обласного бюджету на 2020 рік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15585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155856" w:rsidRPr="00E847C7" w:rsidRDefault="00155856" w:rsidP="00155856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E847C7" w:rsidTr="00D529F9">
        <w:tc>
          <w:tcPr>
            <w:tcW w:w="1843" w:type="dxa"/>
          </w:tcPr>
          <w:p w:rsidR="0027790B" w:rsidRPr="00E847C7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 xml:space="preserve">       </w:t>
            </w:r>
            <w:r w:rsidR="00D529F9" w:rsidRPr="00E847C7">
              <w:rPr>
                <w:sz w:val="26"/>
                <w:szCs w:val="26"/>
              </w:rPr>
              <w:t>І</w:t>
            </w:r>
            <w:r w:rsidR="0027790B" w:rsidRPr="00E847C7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E847C7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</w:t>
            </w:r>
            <w:proofErr w:type="spellEnd"/>
            <w:r w:rsidRPr="00E847C7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27790B" w:rsidRPr="00E847C7" w:rsidRDefault="0027790B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059B" w:rsidRPr="00E847C7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E847C7">
        <w:rPr>
          <w:b/>
          <w:bCs/>
          <w:sz w:val="26"/>
          <w:szCs w:val="26"/>
          <w:u w:val="single"/>
        </w:rPr>
        <w:t>Розгляд питан</w:t>
      </w:r>
      <w:r w:rsidR="0027790B" w:rsidRPr="00E847C7">
        <w:rPr>
          <w:b/>
          <w:bCs/>
          <w:sz w:val="26"/>
          <w:szCs w:val="26"/>
          <w:u w:val="single"/>
        </w:rPr>
        <w:t>ня</w:t>
      </w:r>
      <w:r w:rsidRPr="00E847C7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E847C7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C76CB1" w:rsidRPr="00E847C7" w:rsidRDefault="00C76CB1" w:rsidP="00C76CB1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 xml:space="preserve">від </w:t>
      </w:r>
      <w:proofErr w:type="spellStart"/>
      <w:r w:rsidR="000A5C22">
        <w:rPr>
          <w:rFonts w:ascii="Times New Roman" w:hAnsi="Times New Roman"/>
          <w:iCs/>
          <w:sz w:val="28"/>
          <w:szCs w:val="28"/>
          <w:lang w:val="uk-UA"/>
        </w:rPr>
        <w:t>від</w:t>
      </w:r>
      <w:proofErr w:type="spellEnd"/>
      <w:r w:rsidR="000A5C22">
        <w:rPr>
          <w:rFonts w:ascii="Times New Roman" w:hAnsi="Times New Roman"/>
          <w:iCs/>
          <w:sz w:val="28"/>
          <w:szCs w:val="28"/>
          <w:lang w:val="uk-UA"/>
        </w:rPr>
        <w:t xml:space="preserve"> 06.04.2020 року 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 xml:space="preserve">               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>№ 311/2020-р «</w:t>
      </w:r>
      <w:r w:rsidR="000A5C22">
        <w:rPr>
          <w:rFonts w:ascii="Times New Roman" w:hAnsi="Times New Roman"/>
          <w:iCs/>
          <w:color w:val="000000"/>
          <w:sz w:val="28"/>
          <w:szCs w:val="28"/>
          <w:lang w:val="uk-UA"/>
        </w:rPr>
        <w:t>Про збільшення обсягу доходів і видатків обласного бюджету на 2020 рік</w:t>
      </w:r>
      <w:r w:rsidR="000A5C22">
        <w:rPr>
          <w:rFonts w:ascii="Times New Roman" w:hAnsi="Times New Roman"/>
          <w:iCs/>
          <w:sz w:val="28"/>
          <w:szCs w:val="28"/>
          <w:lang w:val="uk-UA"/>
        </w:rPr>
        <w:t>»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847C7" w:rsidTr="001B7347">
        <w:tc>
          <w:tcPr>
            <w:tcW w:w="1932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E847C7">
              <w:rPr>
                <w:sz w:val="26"/>
                <w:szCs w:val="26"/>
              </w:rPr>
              <w:t>Слухали:</w:t>
            </w:r>
          </w:p>
          <w:p w:rsidR="001B7347" w:rsidRPr="00E847C7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Вирішили:</w:t>
            </w: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Пенюшкевича</w:t>
            </w:r>
            <w:proofErr w:type="spellEnd"/>
            <w:r w:rsidRPr="00E847C7">
              <w:rPr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0A5C22" w:rsidRPr="007879D5" w:rsidRDefault="00402AC4" w:rsidP="000A5C22">
            <w:pPr>
              <w:ind w:firstLine="709"/>
              <w:jc w:val="both"/>
              <w:rPr>
                <w:color w:val="000000"/>
                <w:szCs w:val="28"/>
              </w:rPr>
            </w:pPr>
            <w:r w:rsidRPr="00E847C7">
              <w:rPr>
                <w:sz w:val="26"/>
                <w:szCs w:val="26"/>
              </w:rPr>
              <w:t xml:space="preserve"> </w:t>
            </w:r>
            <w:r w:rsidR="00E847C7" w:rsidRPr="00E847C7">
              <w:rPr>
                <w:sz w:val="26"/>
                <w:szCs w:val="26"/>
              </w:rPr>
              <w:t xml:space="preserve">1. </w:t>
            </w:r>
            <w:r w:rsidR="000A5C22" w:rsidRPr="007879D5">
              <w:rPr>
                <w:color w:val="000000"/>
                <w:szCs w:val="28"/>
              </w:rPr>
              <w:t>Збільшити обсяг доходів загального фонду обласного бюджету по коду</w:t>
            </w:r>
            <w:r w:rsidR="000A5C22" w:rsidRPr="007879D5">
              <w:rPr>
                <w:color w:val="FF0000"/>
                <w:szCs w:val="28"/>
              </w:rPr>
              <w:t xml:space="preserve"> </w:t>
            </w:r>
            <w:r w:rsidR="000A5C22" w:rsidRPr="007879D5">
              <w:rPr>
                <w:szCs w:val="28"/>
              </w:rPr>
              <w:t xml:space="preserve">41033000 «Субвенція з державного бюджету місцевим бюджетам на здійснення підтримки окремих закладів та заходів у системі охорони здоров'я» </w:t>
            </w:r>
            <w:r w:rsidR="000A5C22" w:rsidRPr="007879D5">
              <w:rPr>
                <w:color w:val="000000"/>
                <w:szCs w:val="28"/>
              </w:rPr>
              <w:t>на суму</w:t>
            </w:r>
            <w:r w:rsidR="000A5C22" w:rsidRPr="007879D5">
              <w:rPr>
                <w:color w:val="FF0000"/>
                <w:szCs w:val="28"/>
              </w:rPr>
              <w:t xml:space="preserve"> </w:t>
            </w:r>
            <w:r w:rsidR="000A5C22" w:rsidRPr="007879D5">
              <w:rPr>
                <w:color w:val="000000"/>
                <w:szCs w:val="28"/>
              </w:rPr>
              <w:t xml:space="preserve">96 092,6  тис. гривень. </w:t>
            </w:r>
            <w:r w:rsidR="000A5C22" w:rsidRPr="007879D5">
              <w:rPr>
                <w:color w:val="000000"/>
                <w:szCs w:val="28"/>
              </w:rPr>
              <w:tab/>
            </w:r>
          </w:p>
          <w:p w:rsidR="000A5C22" w:rsidRPr="007879D5" w:rsidRDefault="000A5C22" w:rsidP="000A5C22">
            <w:pPr>
              <w:ind w:firstLine="709"/>
              <w:jc w:val="both"/>
              <w:rPr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</w:rPr>
              <w:t xml:space="preserve">2. Збільшити обсяг видатків загального фонду обласного бюджету </w:t>
            </w:r>
            <w:r w:rsidRPr="007879D5">
              <w:rPr>
                <w:szCs w:val="28"/>
                <w:lang w:eastAsia="uk-UA"/>
              </w:rPr>
              <w:t>по Департаменту охорони здоров’я облдержадміністрації</w:t>
            </w:r>
            <w:r w:rsidRPr="007879D5">
              <w:rPr>
                <w:color w:val="000000"/>
                <w:szCs w:val="28"/>
              </w:rPr>
              <w:t xml:space="preserve"> на суму</w:t>
            </w:r>
            <w:r w:rsidRPr="007879D5"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 xml:space="preserve">  </w:t>
            </w:r>
            <w:r w:rsidRPr="007879D5">
              <w:rPr>
                <w:color w:val="000000"/>
                <w:szCs w:val="28"/>
              </w:rPr>
              <w:t xml:space="preserve">96 092,6 тис. </w:t>
            </w:r>
            <w:r w:rsidRPr="007879D5">
              <w:rPr>
                <w:szCs w:val="28"/>
                <w:lang w:eastAsia="uk-UA"/>
              </w:rPr>
              <w:t>грн, та здійснити їх розподіл таким чином: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FF0000"/>
                <w:szCs w:val="28"/>
                <w:lang w:eastAsia="uk-UA"/>
              </w:rPr>
              <w:t xml:space="preserve">     </w:t>
            </w:r>
            <w:r w:rsidRPr="007879D5">
              <w:rPr>
                <w:color w:val="000000"/>
                <w:szCs w:val="28"/>
                <w:lang w:eastAsia="uk-UA"/>
              </w:rPr>
              <w:t>КПКВК 0712010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 xml:space="preserve">«Багатопрофільна стаціонарна медична допомога населенню» на суму 2 055,3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;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  <w:lang w:eastAsia="uk-UA"/>
              </w:rPr>
              <w:t>КПКВК 0712020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 xml:space="preserve">«Спеціалізована стаціонарна медична допомога населенню» на суму 14 015,0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;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  <w:lang w:eastAsia="uk-UA"/>
              </w:rPr>
              <w:t>КПКВК 0712050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«Медико-соціальний захист дітей-сиріт і дітей, позбавлених батьківського піклування» на суму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 xml:space="preserve">10 274,9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;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  <w:lang w:eastAsia="uk-UA"/>
              </w:rPr>
              <w:t>КПКВК 0712060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«Створення банків крові та її компонентів» на суму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 xml:space="preserve">9 515,1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;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  <w:lang w:eastAsia="uk-UA"/>
              </w:rPr>
              <w:lastRenderedPageBreak/>
              <w:t>КПКВК 0712100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«Стоматологічна допомога населенню» на суму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>
              <w:rPr>
                <w:color w:val="FF0000"/>
                <w:szCs w:val="28"/>
                <w:lang w:eastAsia="uk-UA"/>
              </w:rPr>
              <w:t xml:space="preserve">                </w:t>
            </w:r>
            <w:r w:rsidRPr="007879D5">
              <w:rPr>
                <w:color w:val="000000"/>
                <w:szCs w:val="28"/>
                <w:lang w:eastAsia="uk-UA"/>
              </w:rPr>
              <w:t xml:space="preserve">1 000,0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;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  <w:lang w:eastAsia="uk-UA"/>
              </w:rPr>
              <w:t>КПКВК 0712130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 xml:space="preserve">«Проведення належної медико-соціальної експертизи (МСЕК)» на суму 6 274,5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;</w:t>
            </w:r>
          </w:p>
          <w:p w:rsidR="000A5C22" w:rsidRPr="007879D5" w:rsidRDefault="000A5C22" w:rsidP="000A5C22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7879D5">
              <w:rPr>
                <w:color w:val="000000"/>
                <w:szCs w:val="28"/>
                <w:lang w:eastAsia="uk-UA"/>
              </w:rPr>
              <w:t xml:space="preserve">КПКВК 0712151 «Забезпечення діяльності інших закладів у сфері охорони здоров’я» на суму 28 384,3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тис.грн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 xml:space="preserve"> (Хмельницьке обласне бюро судово-медичної експертизи –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13 409,4 тис. грн,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Обласна база спеціального медичного постачання –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1 410,2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тис. грн,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КНП «Хмельницький обласний патологоанатомічний центр» –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7 872,2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тис. грн,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КНП «Хмельницький обласний центр громадського здоров’я» Хмельницької обласної ради –</w:t>
            </w:r>
            <w:r>
              <w:rPr>
                <w:color w:val="000000"/>
                <w:szCs w:val="28"/>
                <w:lang w:eastAsia="uk-UA"/>
              </w:rPr>
              <w:t xml:space="preserve">              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5 692,5</w:t>
            </w:r>
            <w:r w:rsidRPr="007879D5">
              <w:rPr>
                <w:color w:val="00B05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>тис. грн);</w:t>
            </w:r>
          </w:p>
          <w:p w:rsidR="006D0CB3" w:rsidRPr="00262080" w:rsidRDefault="000A5C22" w:rsidP="000A5C22">
            <w:pPr>
              <w:jc w:val="both"/>
              <w:rPr>
                <w:szCs w:val="28"/>
              </w:rPr>
            </w:pPr>
            <w:r w:rsidRPr="007879D5">
              <w:rPr>
                <w:color w:val="000000"/>
                <w:szCs w:val="28"/>
                <w:lang w:eastAsia="uk-UA"/>
              </w:rPr>
              <w:t>КПКВК 0719430</w:t>
            </w:r>
            <w:r w:rsidRPr="007879D5">
              <w:rPr>
                <w:color w:val="FF0000"/>
                <w:szCs w:val="28"/>
                <w:lang w:eastAsia="uk-UA"/>
              </w:rPr>
              <w:t xml:space="preserve"> </w:t>
            </w:r>
            <w:r w:rsidRPr="007879D5">
              <w:rPr>
                <w:color w:val="000000"/>
                <w:szCs w:val="28"/>
                <w:lang w:eastAsia="uk-UA"/>
              </w:rPr>
              <w:t xml:space="preserve">«Субвенція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(на лікування хворих на цукровий діабет інсуліном та нецукровий діабет </w:t>
            </w:r>
            <w:proofErr w:type="spellStart"/>
            <w:r w:rsidRPr="007879D5">
              <w:rPr>
                <w:color w:val="000000"/>
                <w:szCs w:val="28"/>
                <w:lang w:eastAsia="uk-UA"/>
              </w:rPr>
              <w:t>десмопресином</w:t>
            </w:r>
            <w:proofErr w:type="spellEnd"/>
            <w:r w:rsidRPr="007879D5">
              <w:rPr>
                <w:color w:val="000000"/>
                <w:szCs w:val="28"/>
                <w:lang w:eastAsia="uk-UA"/>
              </w:rPr>
              <w:t>)» на суму 24 573,5 тис. грн</w:t>
            </w:r>
            <w:r w:rsidRPr="007879D5">
              <w:rPr>
                <w:szCs w:val="28"/>
                <w:lang w:eastAsia="uk-UA"/>
              </w:rPr>
              <w:t xml:space="preserve"> для місцевих бюджетів </w:t>
            </w:r>
          </w:p>
          <w:p w:rsidR="0094342A" w:rsidRPr="00E847C7" w:rsidRDefault="0094342A" w:rsidP="0072153E">
            <w:pPr>
              <w:pStyle w:val="af1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bookmarkEnd w:id="0"/>
    </w:tbl>
    <w:p w:rsidR="001F7AFF" w:rsidRPr="00E847C7" w:rsidRDefault="001F7AFF" w:rsidP="001F7AFF">
      <w:pPr>
        <w:ind w:left="57"/>
        <w:jc w:val="both"/>
        <w:rPr>
          <w:bCs/>
          <w:sz w:val="26"/>
          <w:szCs w:val="26"/>
        </w:rPr>
      </w:pPr>
    </w:p>
    <w:p w:rsidR="002B4F21" w:rsidRDefault="002B4F21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5C22" w:rsidRDefault="000A5C22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5C22" w:rsidRPr="009C4C87" w:rsidRDefault="000A5C22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Голова постійної комісії обласної </w:t>
      </w:r>
    </w:p>
    <w:p w:rsidR="001B7347" w:rsidRDefault="00CD07BA" w:rsidP="00E847C7">
      <w:pPr>
        <w:rPr>
          <w:b/>
          <w:sz w:val="26"/>
          <w:szCs w:val="26"/>
        </w:rPr>
      </w:pPr>
      <w:r w:rsidRPr="009C4C87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sectPr w:rsidR="001B7347" w:rsidSect="0072153E"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DC" w:rsidRDefault="00CA5EDC" w:rsidP="00915678">
      <w:r>
        <w:separator/>
      </w:r>
    </w:p>
  </w:endnote>
  <w:endnote w:type="continuationSeparator" w:id="0">
    <w:p w:rsidR="00CA5EDC" w:rsidRDefault="00CA5EDC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DC" w:rsidRDefault="00CA5EDC" w:rsidP="00915678">
      <w:r>
        <w:separator/>
      </w:r>
    </w:p>
  </w:footnote>
  <w:footnote w:type="continuationSeparator" w:id="0">
    <w:p w:rsidR="00CA5EDC" w:rsidRDefault="00CA5EDC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161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66A8"/>
    <w:multiLevelType w:val="hybridMultilevel"/>
    <w:tmpl w:val="3CE22254"/>
    <w:lvl w:ilvl="0" w:tplc="DF36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19"/>
  </w:num>
  <w:num w:numId="5">
    <w:abstractNumId w:val="35"/>
  </w:num>
  <w:num w:numId="6">
    <w:abstractNumId w:val="3"/>
  </w:num>
  <w:num w:numId="7">
    <w:abstractNumId w:val="2"/>
  </w:num>
  <w:num w:numId="8">
    <w:abstractNumId w:val="8"/>
  </w:num>
  <w:num w:numId="9">
    <w:abstractNumId w:val="27"/>
  </w:num>
  <w:num w:numId="10">
    <w:abstractNumId w:val="26"/>
  </w:num>
  <w:num w:numId="11">
    <w:abstractNumId w:val="33"/>
  </w:num>
  <w:num w:numId="12">
    <w:abstractNumId w:val="32"/>
  </w:num>
  <w:num w:numId="13">
    <w:abstractNumId w:val="16"/>
  </w:num>
  <w:num w:numId="14">
    <w:abstractNumId w:val="17"/>
  </w:num>
  <w:num w:numId="15">
    <w:abstractNumId w:val="37"/>
  </w:num>
  <w:num w:numId="16">
    <w:abstractNumId w:val="31"/>
  </w:num>
  <w:num w:numId="17">
    <w:abstractNumId w:val="15"/>
  </w:num>
  <w:num w:numId="18">
    <w:abstractNumId w:val="34"/>
  </w:num>
  <w:num w:numId="19">
    <w:abstractNumId w:val="29"/>
  </w:num>
  <w:num w:numId="20">
    <w:abstractNumId w:val="0"/>
  </w:num>
  <w:num w:numId="21">
    <w:abstractNumId w:val="6"/>
  </w:num>
  <w:num w:numId="22">
    <w:abstractNumId w:val="7"/>
  </w:num>
  <w:num w:numId="23">
    <w:abstractNumId w:val="4"/>
  </w:num>
  <w:num w:numId="24">
    <w:abstractNumId w:val="28"/>
  </w:num>
  <w:num w:numId="25">
    <w:abstractNumId w:val="18"/>
  </w:num>
  <w:num w:numId="26">
    <w:abstractNumId w:val="40"/>
  </w:num>
  <w:num w:numId="27">
    <w:abstractNumId w:val="36"/>
  </w:num>
  <w:num w:numId="28">
    <w:abstractNumId w:val="22"/>
  </w:num>
  <w:num w:numId="29">
    <w:abstractNumId w:val="11"/>
  </w:num>
  <w:num w:numId="30">
    <w:abstractNumId w:val="24"/>
  </w:num>
  <w:num w:numId="31">
    <w:abstractNumId w:val="1"/>
  </w:num>
  <w:num w:numId="32">
    <w:abstractNumId w:val="9"/>
  </w:num>
  <w:num w:numId="33">
    <w:abstractNumId w:val="25"/>
  </w:num>
  <w:num w:numId="34">
    <w:abstractNumId w:val="39"/>
  </w:num>
  <w:num w:numId="35">
    <w:abstractNumId w:val="12"/>
  </w:num>
  <w:num w:numId="36">
    <w:abstractNumId w:val="21"/>
  </w:num>
  <w:num w:numId="37">
    <w:abstractNumId w:val="23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F069B"/>
    <w:rsid w:val="000F2685"/>
    <w:rsid w:val="00102088"/>
    <w:rsid w:val="001206E0"/>
    <w:rsid w:val="0013004D"/>
    <w:rsid w:val="001348A2"/>
    <w:rsid w:val="00155856"/>
    <w:rsid w:val="00160622"/>
    <w:rsid w:val="00197A64"/>
    <w:rsid w:val="001A67C4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A4E93"/>
    <w:rsid w:val="004B754A"/>
    <w:rsid w:val="004D02E7"/>
    <w:rsid w:val="004E059B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D0CB3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9264D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9E405B"/>
    <w:rsid w:val="00A054C6"/>
    <w:rsid w:val="00A5487A"/>
    <w:rsid w:val="00A553FC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A01FE"/>
    <w:rsid w:val="00CA5EDC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47C7"/>
    <w:rsid w:val="00E96D04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633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CE8F-4F42-4CC4-8082-3E09F961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2020-03-30T07:48:00Z</cp:lastPrinted>
  <dcterms:created xsi:type="dcterms:W3CDTF">2020-05-08T10:19:00Z</dcterms:created>
  <dcterms:modified xsi:type="dcterms:W3CDTF">2020-05-08T10:21:00Z</dcterms:modified>
</cp:coreProperties>
</file>