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08 квітня 2021 року  № 53-4/2021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 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tabs>
          <w:tab w:val="left" w:pos="3960"/>
        </w:tabs>
        <w:ind w:right="5678"/>
        <w:rPr>
          <w:sz w:val="28"/>
          <w:szCs w:val="28"/>
        </w:rPr>
      </w:pPr>
      <w:r>
        <w:rPr>
          <w:sz w:val="28"/>
          <w:szCs w:val="28"/>
          <w:lang w:val="uk-UA"/>
        </w:rPr>
        <w:t>Про комплексну програму профілактики правопорушень та боротьби зі злочинністю на території Хмельницької області на 2021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2025 роки</w:t>
      </w:r>
    </w:p>
    <w:p>
      <w:pPr>
        <w:rPr>
          <w:sz w:val="28"/>
          <w:szCs w:val="28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 Хмельницької обласної державної адміністрації та керуючись пунктом 16 частини першої статті 43 Закону України «Про місцеве самоврядування в Україні», обласна рада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>
      <w:pPr>
        <w:rPr>
          <w:sz w:val="28"/>
          <w:szCs w:val="28"/>
          <w:lang w:val="uk-UA"/>
        </w:rPr>
      </w:pPr>
    </w:p>
    <w:p>
      <w:pPr>
        <w:tabs>
          <w:tab w:val="left" w:pos="900"/>
        </w:tabs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Затвердити комплексну програму профілактики правопорушень та боротьби зі злочинністю на території Хмельницької області на 2021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2025 роки (далі – Програма, додано).</w:t>
      </w:r>
    </w:p>
    <w:p>
      <w:pPr>
        <w:tabs>
          <w:tab w:val="left" w:pos="900"/>
        </w:tabs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Рекомендувати виконавцям заходів Програми забезпечити їх реалізацію.</w:t>
      </w:r>
    </w:p>
    <w:p>
      <w:pPr>
        <w:tabs>
          <w:tab w:val="left" w:pos="900"/>
        </w:tabs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Доручити Головному управлінню Національної поліції в Хмельницькій області здійснювати координацію виконання заходів, передбачених Програмою.</w:t>
      </w:r>
    </w:p>
    <w:p>
      <w:pPr>
        <w:tabs>
          <w:tab w:val="left" w:pos="900"/>
        </w:tabs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 Рекомендувати Департаменту фінансів Хмельницької обласної державної адміністрації при формуванні обласного бюджету передбачати фінансування заходів Програми. </w:t>
      </w:r>
    </w:p>
    <w:p>
      <w:pPr>
        <w:tabs>
          <w:tab w:val="left" w:pos="1080"/>
        </w:tabs>
        <w:spacing w:after="6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 Рекомендувати обласній державній адміністрації щорічно інформувати обласну раду про хід виконання Програми.</w:t>
      </w:r>
    </w:p>
    <w:p>
      <w:pPr>
        <w:tabs>
          <w:tab w:val="left" w:pos="900"/>
        </w:tabs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Рекомендувати районним державним адміністраціям, районним радам, виконавчим комітетам міських (міст обласного значення) рад розробити відповідні місцеві програми.</w:t>
      </w:r>
    </w:p>
    <w:p>
      <w:pPr>
        <w:tabs>
          <w:tab w:val="left" w:pos="900"/>
        </w:tabs>
        <w:spacing w:after="6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 Контроль за виконанням Програми покласти на постійну комісію </w:t>
      </w:r>
      <w:r>
        <w:rPr>
          <w:rStyle w:val="ac"/>
          <w:b w:val="0"/>
          <w:bCs w:val="0"/>
          <w:color w:val="222222"/>
          <w:sz w:val="28"/>
          <w:szCs w:val="28"/>
          <w:shd w:val="clear" w:color="auto" w:fill="FFFFFF"/>
          <w:lang w:val="uk-UA"/>
        </w:rPr>
        <w:t>з</w:t>
      </w:r>
      <w:r>
        <w:rPr>
          <w:rStyle w:val="ac"/>
          <w:b w:val="0"/>
          <w:bCs w:val="0"/>
          <w:color w:val="222222"/>
          <w:sz w:val="28"/>
          <w:szCs w:val="28"/>
          <w:shd w:val="clear" w:color="auto" w:fill="FFFFFF"/>
          <w:lang w:val="uk-UA"/>
        </w:rPr>
        <w:t> </w:t>
      </w:r>
      <w:r>
        <w:rPr>
          <w:rStyle w:val="ac"/>
          <w:b w:val="0"/>
          <w:bCs w:val="0"/>
          <w:color w:val="222222"/>
          <w:sz w:val="28"/>
          <w:szCs w:val="28"/>
          <w:shd w:val="clear" w:color="auto" w:fill="FFFFFF"/>
          <w:lang w:val="uk-UA"/>
        </w:rPr>
        <w:t>питань правової політики, регламенту, депутатської діяльності та етики, свободи слова та комунікацій</w:t>
      </w:r>
      <w:r>
        <w:rPr>
          <w:rStyle w:val="ac"/>
          <w:b w:val="0"/>
          <w:bCs w:val="0"/>
          <w:color w:val="222222"/>
          <w:sz w:val="28"/>
          <w:szCs w:val="28"/>
          <w:shd w:val="clear" w:color="auto" w:fill="FFFFFF"/>
          <w:lang w:val="uk-UA"/>
        </w:rPr>
        <w:t>.</w:t>
      </w: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Віолета ЛАБАЗЮК</w:t>
      </w:r>
    </w:p>
    <w:sectPr>
      <w:footerReference w:type="default" r:id="rId9"/>
      <w:pgSz w:w="11906" w:h="16838"/>
      <w:pgMar w:top="397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E0024"/>
    <w:multiLevelType w:val="hybridMultilevel"/>
    <w:tmpl w:val="2FB24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0660F-4A32-4E66-8875-70140513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49</cp:revision>
  <cp:lastPrinted>2021-04-12T07:23:00Z</cp:lastPrinted>
  <dcterms:created xsi:type="dcterms:W3CDTF">2018-02-07T14:32:00Z</dcterms:created>
  <dcterms:modified xsi:type="dcterms:W3CDTF">2021-04-12T07:24:00Z</dcterms:modified>
</cp:coreProperties>
</file>