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>
      <w:pPr>
        <w:jc w:val="center"/>
        <w:rPr>
          <w:color w:val="000000"/>
          <w:sz w:val="22"/>
          <w:szCs w:val="22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 червня 2021 року  № _______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 Хмельницький</w:t>
      </w: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Перелік об’єктів малої приватизації (окреме майно) спільної власності територіальних громад сіл, селищ, міст Хмельницької області, що підлягають приватизації у 2021 році</w:t>
      </w: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Закону України «Про приватизацію державного і комунального майна», враховуючи висновок </w:t>
      </w:r>
      <w:r>
        <w:rPr>
          <w:sz w:val="28"/>
          <w:szCs w:val="28"/>
          <w:lang w:val="uk-UA"/>
        </w:rPr>
        <w:t>постійної комісії обласної ради з питань управління комунальною власністю та приватизації,</w:t>
      </w:r>
      <w:r>
        <w:rPr>
          <w:color w:val="000000"/>
          <w:sz w:val="28"/>
          <w:szCs w:val="28"/>
          <w:lang w:val="uk-UA"/>
        </w:rPr>
        <w:t xml:space="preserve"> керуючись статтями 43, 60 Закону України «Про місцеве самоврядування в Україні», обласна рада </w:t>
      </w: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Затвердити Перелік об’єктів малої приватизації (окреме майно) спільної власності територіальних громад сіл, селищ, міст Хмельницької області, що підлягають приватизації у 2021 році згідно з додатком до цього рішення.</w:t>
      </w:r>
    </w:p>
    <w:p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Встановити, що повноваження органу приватизації майна, яке перебуває у спільній власності територіальних громад сіл, селищ, міст Хмельницької області, здійснюються головою обласної ради.</w:t>
      </w:r>
    </w:p>
    <w:p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Доручити голові обласної ради здійснювати повноваження органу приватизації, оформлювати документи необхідні для здійснення процедури приватизації, укладати договори купівлі-продажу тощо та здійснювати інші дії для виконання цього рішення.</w:t>
      </w:r>
    </w:p>
    <w:p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  <w:sectPr>
          <w:footerReference w:type="default" r:id="rId9"/>
          <w:pgSz w:w="11906" w:h="16838"/>
          <w:pgMar w:top="397" w:right="851" w:bottom="851" w:left="1418" w:header="709" w:footer="709" w:gutter="0"/>
          <w:cols w:space="708"/>
          <w:titlePg/>
          <w:docGrid w:linePitch="360"/>
        </w:sectPr>
      </w:pPr>
    </w:p>
    <w:p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4. Встановити, що у разі необхідності встановлення вартості об’єкта (активів об’єкта) малої приватизації на підставі незалежної оцінки замовником проведення такої оцінки майна є балансоутримувач об’єкта приватизації.</w:t>
      </w:r>
    </w:p>
    <w:p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Контроль за виконанням рішення покласти на першого заступника голови обласної ради Володимира ГОНЧАРУКА і постійну комісію обласної ради з питань управління комунальною власністю та приватизації.</w:t>
      </w:r>
    </w:p>
    <w:p>
      <w:pPr>
        <w:jc w:val="both"/>
        <w:rPr>
          <w:color w:val="FF0000"/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ради                                                                 </w:t>
      </w:r>
      <w:r>
        <w:rPr>
          <w:sz w:val="28"/>
          <w:szCs w:val="28"/>
          <w:lang w:val="uk-UA"/>
        </w:rPr>
        <w:tab/>
        <w:t xml:space="preserve">  Віолета ЛАБАЗЮК</w:t>
      </w:r>
    </w:p>
    <w:p>
      <w:pPr>
        <w:rPr>
          <w:color w:val="000000"/>
          <w:sz w:val="28"/>
          <w:szCs w:val="28"/>
          <w:lang w:val="uk-UA"/>
        </w:rPr>
      </w:pPr>
    </w:p>
    <w:sectPr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9806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uk-UA"/>
          </w:rPr>
          <w:t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E681-263F-4799-94A0-4F54B52C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Іванова</cp:lastModifiedBy>
  <cp:revision>44</cp:revision>
  <cp:lastPrinted>2021-02-09T06:44:00Z</cp:lastPrinted>
  <dcterms:created xsi:type="dcterms:W3CDTF">2018-02-07T14:32:00Z</dcterms:created>
  <dcterms:modified xsi:type="dcterms:W3CDTF">2021-05-21T07:33:00Z</dcterms:modified>
</cp:coreProperties>
</file>