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48-6/2021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tabs>
          <w:tab w:val="left" w:pos="4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обласного </w:t>
      </w:r>
    </w:p>
    <w:p>
      <w:pPr>
        <w:tabs>
          <w:tab w:val="left" w:pos="4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бюджету Хмельницької області </w:t>
      </w:r>
    </w:p>
    <w:p>
      <w:pPr>
        <w:tabs>
          <w:tab w:val="left" w:pos="4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2021 рік</w:t>
      </w:r>
    </w:p>
    <w:p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(22100000000)</w:t>
      </w:r>
    </w:p>
    <w:p>
      <w:p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код бюджету</w:t>
      </w:r>
    </w:p>
    <w:p>
      <w:pPr>
        <w:spacing w:after="120"/>
        <w:ind w:firstLine="567"/>
        <w:jc w:val="both"/>
        <w:rPr>
          <w:sz w:val="28"/>
          <w:szCs w:val="28"/>
          <w:lang w:val="uk-UA"/>
        </w:rPr>
      </w:pPr>
    </w:p>
    <w:p>
      <w:pPr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Відповідно до Бюджетного кодексу України, керуючись пунктом 17 частини першої статті 43 Закону України «Про місцеве самоврядування в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 xml:space="preserve">Україні», обласна рада </w:t>
      </w:r>
    </w:p>
    <w:p>
      <w:pPr>
        <w:ind w:firstLine="567"/>
        <w:jc w:val="both"/>
        <w:rPr>
          <w:color w:val="FF0000"/>
          <w:sz w:val="28"/>
          <w:szCs w:val="28"/>
          <w:lang w:val="uk-UA"/>
        </w:rPr>
      </w:pPr>
    </w:p>
    <w:p>
      <w:pPr>
        <w:ind w:firstLine="567"/>
        <w:jc w:val="both"/>
        <w:rPr>
          <w:color w:val="FF0000"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>
      <w:pPr>
        <w:ind w:firstLine="567"/>
        <w:jc w:val="both"/>
        <w:rPr>
          <w:color w:val="FF0000"/>
          <w:sz w:val="28"/>
          <w:szCs w:val="28"/>
          <w:lang w:val="uk-UA"/>
        </w:rPr>
      </w:pPr>
    </w:p>
    <w:p>
      <w:pPr>
        <w:ind w:firstLine="567"/>
        <w:jc w:val="both"/>
        <w:rPr>
          <w:color w:val="FF0000"/>
          <w:sz w:val="28"/>
          <w:szCs w:val="28"/>
          <w:lang w:val="uk-UA"/>
        </w:rPr>
      </w:pPr>
    </w:p>
    <w:p>
      <w:pPr>
        <w:spacing w:after="12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1. Внести до рішення обласної ради від 24 грудня 2020 року №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10-2/2020 «Про обласний бюджет Хмельницької області на 2021 рік», від 08 квітня 2021 року №</w:t>
      </w:r>
      <w:r>
        <w:rPr>
          <w:sz w:val="28"/>
          <w:szCs w:val="20"/>
          <w:lang w:val="en-US"/>
        </w:rPr>
        <w:t> </w:t>
      </w:r>
      <w:r>
        <w:rPr>
          <w:sz w:val="28"/>
          <w:szCs w:val="20"/>
          <w:lang w:val="uk-UA"/>
        </w:rPr>
        <w:t>61-4/2021 «Про внесення змін до обласного бюджету Хмельницької області на 2021 рік» такі зміни:</w:t>
      </w:r>
    </w:p>
    <w:p>
      <w:pPr>
        <w:spacing w:after="12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в абзаці 1 пункту 1 цифри «2 847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570</w:t>
      </w:r>
      <w:r>
        <w:rPr>
          <w:sz w:val="28"/>
          <w:szCs w:val="20"/>
          <w:lang w:val="en-US"/>
        </w:rPr>
        <w:t> </w:t>
      </w:r>
      <w:r>
        <w:rPr>
          <w:sz w:val="28"/>
          <w:szCs w:val="20"/>
          <w:lang w:val="uk-UA"/>
        </w:rPr>
        <w:t>000», «1 994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551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900», «853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018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100» замінити відповідно на цифри «3 262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695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178», «2 260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802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828», «1 001 892 350» (додаток 1);</w:t>
      </w:r>
    </w:p>
    <w:p>
      <w:pPr>
        <w:spacing w:after="12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в абзаці 2 пункту 1 цифри «3 040 322 316», «1 950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040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573» та                   «1 090 281 743» замінити відповідно на цифри «3 458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203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186», «2 086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211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 xml:space="preserve">733» та «1 371 991 453» (додаток 3); </w:t>
      </w:r>
    </w:p>
    <w:p>
      <w:pPr>
        <w:spacing w:after="12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в абзаці 4 пункту 1 цифри «4 336 872» замінити на цифри «4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836</w:t>
      </w:r>
      <w:r>
        <w:rPr>
          <w:sz w:val="28"/>
          <w:szCs w:val="20"/>
        </w:rPr>
        <w:t> </w:t>
      </w:r>
      <w:r>
        <w:rPr>
          <w:sz w:val="28"/>
          <w:szCs w:val="20"/>
          <w:lang w:val="uk-UA"/>
        </w:rPr>
        <w:t>872», цифри «300 000» замінити на цифри «800 000» (додаток 4);</w:t>
      </w:r>
    </w:p>
    <w:p>
      <w:pPr>
        <w:spacing w:after="12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в абзаці 5 пункту 1 цифри «44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211</w:t>
      </w:r>
      <w:r>
        <w:rPr>
          <w:sz w:val="28"/>
          <w:szCs w:val="20"/>
          <w:lang w:val="en-US"/>
        </w:rPr>
        <w:t> </w:t>
      </w:r>
      <w:r>
        <w:rPr>
          <w:sz w:val="28"/>
          <w:szCs w:val="20"/>
          <w:lang w:val="uk-UA"/>
        </w:rPr>
        <w:t>327» замінити на цифри «173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791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 xml:space="preserve">095» (додаток 2); </w:t>
      </w:r>
    </w:p>
    <w:p>
      <w:pPr>
        <w:spacing w:after="12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в абзаці 6 пункту 1 цифри «238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070</w:t>
      </w:r>
      <w:r>
        <w:rPr>
          <w:sz w:val="28"/>
          <w:szCs w:val="20"/>
          <w:lang w:val="en-US"/>
        </w:rPr>
        <w:t> </w:t>
      </w:r>
      <w:r>
        <w:rPr>
          <w:sz w:val="28"/>
          <w:szCs w:val="20"/>
          <w:lang w:val="uk-UA"/>
        </w:rPr>
        <w:t>615» замінити на цифри «370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906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075» (додаток 2);</w:t>
      </w:r>
    </w:p>
    <w:p>
      <w:pPr>
        <w:spacing w:after="120"/>
        <w:ind w:firstLine="567"/>
        <w:jc w:val="both"/>
        <w:rPr>
          <w:sz w:val="28"/>
          <w:szCs w:val="20"/>
          <w:lang w:val="uk-UA"/>
        </w:rPr>
        <w:sectPr>
          <w:footerReference w:type="default" r:id="rId9"/>
          <w:footerReference w:type="first" r:id="rId10"/>
          <w:pgSz w:w="11906" w:h="16838"/>
          <w:pgMar w:top="397" w:right="851" w:bottom="851" w:left="1701" w:header="709" w:footer="709" w:gutter="0"/>
          <w:cols w:space="708"/>
          <w:titlePg/>
          <w:docGrid w:linePitch="360"/>
        </w:sectPr>
      </w:pPr>
    </w:p>
    <w:p>
      <w:pPr>
        <w:spacing w:after="120"/>
        <w:ind w:firstLine="567"/>
        <w:jc w:val="both"/>
        <w:rPr>
          <w:sz w:val="28"/>
          <w:szCs w:val="20"/>
          <w:lang w:val="uk-UA"/>
        </w:rPr>
      </w:pPr>
    </w:p>
    <w:p>
      <w:pPr>
        <w:spacing w:after="120"/>
        <w:ind w:firstLine="567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- у пункті 5 цифри «1 015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822</w:t>
      </w:r>
      <w:r>
        <w:rPr>
          <w:sz w:val="28"/>
          <w:szCs w:val="20"/>
          <w:lang w:val="en-US"/>
        </w:rPr>
        <w:t> </w:t>
      </w:r>
      <w:r>
        <w:rPr>
          <w:sz w:val="28"/>
          <w:szCs w:val="20"/>
          <w:lang w:val="uk-UA"/>
        </w:rPr>
        <w:t>192» замінити на цифри «1 259</w:t>
      </w:r>
      <w:r>
        <w:rPr>
          <w:sz w:val="28"/>
          <w:szCs w:val="20"/>
          <w:lang w:val="uk-UA"/>
        </w:rPr>
        <w:t> </w:t>
      </w:r>
      <w:r>
        <w:rPr>
          <w:sz w:val="28"/>
          <w:szCs w:val="20"/>
          <w:lang w:val="uk-UA"/>
        </w:rPr>
        <w:t>388</w:t>
      </w:r>
      <w:r>
        <w:rPr>
          <w:sz w:val="28"/>
          <w:szCs w:val="20"/>
          <w:lang w:val="en-US"/>
        </w:rPr>
        <w:t> </w:t>
      </w:r>
      <w:r>
        <w:rPr>
          <w:sz w:val="28"/>
          <w:szCs w:val="20"/>
          <w:lang w:val="uk-UA"/>
        </w:rPr>
        <w:t>793»     (додаток 7).</w:t>
      </w:r>
    </w:p>
    <w:p>
      <w:pPr>
        <w:spacing w:after="120"/>
        <w:ind w:firstLine="567"/>
        <w:jc w:val="both"/>
        <w:rPr>
          <w:bCs/>
          <w:lang w:val="uk-UA"/>
        </w:rPr>
      </w:pPr>
      <w:bookmarkStart w:id="0" w:name="n9"/>
      <w:bookmarkEnd w:id="0"/>
      <w:r>
        <w:rPr>
          <w:sz w:val="28"/>
          <w:szCs w:val="28"/>
          <w:lang w:val="uk-UA"/>
        </w:rPr>
        <w:t>2. Додатки до рішення обласної ради 1, 2, 3, 4, 5, 6, 7 від 08 квітня 2021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року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61-4/2021 «Про внесення змін до обласного бюджету Хмельницької області на 2021 рік» викласти у новій редакції відповідно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додатків 1, 2, 3, 4, 5, 6, 7 до цього рішення.</w:t>
      </w:r>
      <w:r>
        <w:rPr>
          <w:bCs/>
          <w:lang w:val="uk-UA"/>
        </w:rPr>
        <w:t xml:space="preserve"> </w:t>
      </w:r>
    </w:p>
    <w:p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Додатки 1</w:t>
      </w:r>
      <w:r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7 до цього рішення є його невід’ємною частиною. </w:t>
      </w:r>
    </w:p>
    <w:p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Контроль за виконанням рішення покласти на заступника голови обласної ради відповідно до розподілу обов’язків та постійну комісію обласної ради з питань бюджету та фінансів.</w:t>
      </w:r>
    </w:p>
    <w:p>
      <w:pPr>
        <w:spacing w:after="120"/>
        <w:ind w:firstLine="567"/>
        <w:jc w:val="both"/>
        <w:rPr>
          <w:color w:val="FF0000"/>
          <w:sz w:val="28"/>
          <w:szCs w:val="28"/>
          <w:lang w:val="uk-UA"/>
        </w:rPr>
      </w:pPr>
    </w:p>
    <w:p>
      <w:pPr>
        <w:spacing w:after="120"/>
        <w:ind w:firstLine="567"/>
        <w:jc w:val="both"/>
        <w:rPr>
          <w:color w:val="FF0000"/>
          <w:sz w:val="28"/>
          <w:szCs w:val="28"/>
          <w:lang w:val="uk-UA"/>
        </w:rPr>
      </w:pPr>
    </w:p>
    <w:p>
      <w:pPr>
        <w:keepNext/>
        <w:spacing w:after="120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Віолета ЛАБАЗЮ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</w:t>
      </w:r>
    </w:p>
    <w:sectPr>
      <w:pgSz w:w="11906" w:h="16838"/>
      <w:pgMar w:top="39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a"/>
      <w:jc w:val="right"/>
    </w:pPr>
  </w:p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2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38</cp:revision>
  <cp:lastPrinted>2021-09-15T13:53:00Z</cp:lastPrinted>
  <dcterms:created xsi:type="dcterms:W3CDTF">2018-02-07T14:32:00Z</dcterms:created>
  <dcterms:modified xsi:type="dcterms:W3CDTF">2021-09-15T13:58:00Z</dcterms:modified>
</cp:coreProperties>
</file>