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№ 65-6/2021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tabs>
          <w:tab w:val="left" w:pos="7740"/>
          <w:tab w:val="left" w:pos="8460"/>
          <w:tab w:val="left" w:pos="9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погодження клопотань щодо приведення існуючого поділу лісів у відповідність до Порядку поділу лісів на категорії та виділення особливо захисних лісових ділянок </w:t>
      </w:r>
    </w:p>
    <w:p>
      <w:pPr>
        <w:tabs>
          <w:tab w:val="left" w:pos="7740"/>
          <w:tab w:val="left" w:pos="9354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7740"/>
          <w:tab w:val="left" w:pos="9354"/>
        </w:tabs>
        <w:jc w:val="both"/>
        <w:rPr>
          <w:sz w:val="28"/>
          <w:szCs w:val="28"/>
          <w:lang w:val="uk-UA"/>
        </w:rPr>
      </w:pPr>
    </w:p>
    <w:p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висновок </w:t>
      </w:r>
      <w:r>
        <w:rPr>
          <w:bCs/>
          <w:sz w:val="28"/>
          <w:szCs w:val="28"/>
          <w:lang w:val="uk-UA"/>
        </w:rPr>
        <w:t>постійної комісії обласної ради з питань будівництва, житлово-комунального господарства, інвестиційної політики, природокористування та екології</w:t>
      </w:r>
      <w:r>
        <w:rPr>
          <w:sz w:val="28"/>
          <w:szCs w:val="28"/>
          <w:lang w:val="uk-UA"/>
        </w:rPr>
        <w:t xml:space="preserve"> від 07.09.2021, звернення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Хмельницького обласного управління лісового та мисливського господарства від 02.09.2021 № 02 мисл-1025/2021 та клопотання щодо приведення існуючого поділу лісів по державним підприємствам «Ізяславське лісове господарство», «Кам’янець-Подільське лісове господарство», «Летичівське лісове господарство», «Новоушицьке лісове господарство», «Проскурівське лісове господарство», «</w:t>
      </w:r>
      <w:proofErr w:type="spellStart"/>
      <w:r>
        <w:rPr>
          <w:sz w:val="28"/>
          <w:szCs w:val="28"/>
          <w:lang w:val="uk-UA"/>
        </w:rPr>
        <w:t>Славутське</w:t>
      </w:r>
      <w:proofErr w:type="spellEnd"/>
      <w:r>
        <w:rPr>
          <w:sz w:val="28"/>
          <w:szCs w:val="28"/>
          <w:lang w:val="uk-UA"/>
        </w:rPr>
        <w:t xml:space="preserve"> лісове господарство», «Старокостянтинівське лісове господарство», «Хмельницьке лісомисливське господарство», «Шепетівське лісове господарство», «Ярмолинецьке лісове господарство», відповідно до пункту 16 постанови Кабінету Міністрів України від 16.05.2007 № 733 «Про затвердження Порядку поділу лісів на категорії та виділення особливо захисних лісових ділянок», керуючись пунктом 16 частини 1 статті 43 Закону України «Про місцеве самоврядування в Україні», обласна рада  </w:t>
      </w: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Погодити клопотання щодо приведення існуючого поділу лісів у відповідності до Порядку поділу лісів на категорії та виділення особливо захисних лісових ділянок таким суб’єктам господарювання: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«Ізяславське лісове господарство» площею 24 377,3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«Кам’янець-Подільське лісове господарство» площею 25 277,4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  <w:sectPr>
          <w:footerReference w:type="default" r:id="rId9"/>
          <w:pgSz w:w="11906" w:h="16838"/>
          <w:pgMar w:top="397" w:right="851" w:bottom="851" w:left="1418" w:header="709" w:footer="709" w:gutter="0"/>
          <w:cols w:space="708"/>
          <w:titlePg/>
          <w:docGrid w:linePitch="360"/>
        </w:sectPr>
      </w:pP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- державному підприємству «Летичівське лісове господарство» площею 15 165,5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«Новоушицьке лісове господарство» площею 12 297,7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«Проскурівське лісове господарство» площею 5 414,7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</w:t>
      </w:r>
      <w:proofErr w:type="spellStart"/>
      <w:r>
        <w:rPr>
          <w:sz w:val="28"/>
          <w:szCs w:val="28"/>
          <w:lang w:val="uk-UA"/>
        </w:rPr>
        <w:t>Славутське</w:t>
      </w:r>
      <w:proofErr w:type="spellEnd"/>
      <w:r>
        <w:rPr>
          <w:sz w:val="28"/>
          <w:szCs w:val="28"/>
          <w:lang w:val="uk-UA"/>
        </w:rPr>
        <w:t xml:space="preserve"> лісове господарство» площею 24 148,8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«Старокостянтинівське лісове господарство» площею 17 433,0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«Хмельницьке лісомисливське господарство» площею 14 153,6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«Шепетівське лісове господарство» площею 35 959,3 га;</w:t>
      </w:r>
    </w:p>
    <w:p>
      <w:pPr>
        <w:tabs>
          <w:tab w:val="left" w:pos="900"/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державному підприємству «Ярмолинецьке лісове господарство» площею 19 342,5 га.</w:t>
      </w:r>
    </w:p>
    <w:p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Доручити голові обласної ради підписати вказаним підприємствам клопотання щодо приведення існуючого поділу лісів у відповідність до Порядку поділу лісів на категорії та виділення особливо захисних лісових ділянок.</w:t>
      </w: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0"/>
          <w:szCs w:val="20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Віолета ЛАБАЗЮК</w:t>
      </w:r>
    </w:p>
    <w:p/>
    <w:p/>
    <w:p/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sectPr>
      <w:pgSz w:w="11906" w:h="16838"/>
      <w:pgMar w:top="993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7639D-6877-4597-A912-9D5EF01C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38</cp:revision>
  <cp:lastPrinted>2021-09-09T05:53:00Z</cp:lastPrinted>
  <dcterms:created xsi:type="dcterms:W3CDTF">2018-02-07T14:32:00Z</dcterms:created>
  <dcterms:modified xsi:type="dcterms:W3CDTF">2021-09-16T08:17:00Z</dcterms:modified>
</cp:coreProperties>
</file>